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DFB8" w14:textId="77777777" w:rsidR="00D345BF" w:rsidRPr="00D345BF" w:rsidRDefault="00D345BF" w:rsidP="00D345BF">
      <w:pPr>
        <w:spacing w:after="200" w:line="360" w:lineRule="auto"/>
        <w:jc w:val="center"/>
        <w:rPr>
          <w:rFonts w:asciiTheme="minorHAnsi" w:hAnsiTheme="minorHAnsi"/>
          <w:b/>
          <w:sz w:val="22"/>
          <w:szCs w:val="22"/>
          <w:lang w:val="es-ES"/>
        </w:rPr>
      </w:pPr>
      <w:r w:rsidRPr="00D345BF">
        <w:rPr>
          <w:rFonts w:asciiTheme="minorHAnsi" w:hAnsiTheme="minorHAnsi"/>
          <w:b/>
          <w:sz w:val="22"/>
          <w:szCs w:val="22"/>
          <w:lang w:val="es-ES"/>
        </w:rPr>
        <w:t>NOTA INFORMATIVA</w:t>
      </w:r>
    </w:p>
    <w:p w14:paraId="62079F69" w14:textId="77777777" w:rsidR="00D345BF" w:rsidRPr="00D345BF" w:rsidRDefault="00D345BF" w:rsidP="00D345BF">
      <w:pPr>
        <w:spacing w:after="200" w:line="360" w:lineRule="auto"/>
        <w:jc w:val="center"/>
        <w:rPr>
          <w:rFonts w:asciiTheme="minorHAnsi" w:hAnsiTheme="minorHAnsi"/>
          <w:b/>
          <w:sz w:val="22"/>
          <w:szCs w:val="22"/>
          <w:lang w:val="es-ES"/>
        </w:rPr>
      </w:pPr>
      <w:r w:rsidRPr="00D345BF">
        <w:rPr>
          <w:rFonts w:asciiTheme="minorHAnsi" w:hAnsiTheme="minorHAnsi"/>
          <w:b/>
          <w:sz w:val="22"/>
          <w:szCs w:val="22"/>
          <w:lang w:val="es-ES"/>
        </w:rPr>
        <w:t xml:space="preserve">IMPLICACIÓN MEDIDA </w:t>
      </w:r>
      <w:r w:rsidR="007251A2">
        <w:rPr>
          <w:rFonts w:asciiTheme="minorHAnsi" w:hAnsiTheme="minorHAnsi"/>
          <w:b/>
          <w:sz w:val="22"/>
          <w:szCs w:val="22"/>
          <w:lang w:val="es-ES"/>
        </w:rPr>
        <w:t xml:space="preserve">BANCARIA DE </w:t>
      </w:r>
      <w:r w:rsidR="006C2DDC" w:rsidRPr="00D345BF">
        <w:rPr>
          <w:rFonts w:asciiTheme="minorHAnsi" w:hAnsiTheme="minorHAnsi"/>
          <w:b/>
          <w:sz w:val="22"/>
          <w:szCs w:val="22"/>
          <w:lang w:val="es-ES"/>
        </w:rPr>
        <w:t>ARGELIA</w:t>
      </w:r>
      <w:r w:rsidR="006C2DDC">
        <w:rPr>
          <w:rFonts w:asciiTheme="minorHAnsi" w:hAnsiTheme="minorHAnsi"/>
          <w:b/>
          <w:sz w:val="22"/>
          <w:szCs w:val="22"/>
          <w:lang w:val="es-ES"/>
        </w:rPr>
        <w:t xml:space="preserve"> EN EL COMERCIO BILATERAL</w:t>
      </w:r>
    </w:p>
    <w:p w14:paraId="597B7A40" w14:textId="77777777" w:rsidR="00011D6C" w:rsidRPr="00E377A0" w:rsidRDefault="006710B4" w:rsidP="004804D3">
      <w:pPr>
        <w:pStyle w:val="Prrafodelista"/>
        <w:numPr>
          <w:ilvl w:val="0"/>
          <w:numId w:val="12"/>
        </w:numPr>
        <w:spacing w:after="200" w:line="240" w:lineRule="atLeast"/>
        <w:ind w:left="426"/>
        <w:jc w:val="both"/>
        <w:rPr>
          <w:rFonts w:asciiTheme="minorHAnsi" w:hAnsiTheme="minorHAnsi"/>
          <w:sz w:val="22"/>
          <w:szCs w:val="22"/>
        </w:rPr>
      </w:pPr>
      <w:r w:rsidRPr="00E377A0">
        <w:rPr>
          <w:rFonts w:asciiTheme="minorHAnsi" w:hAnsiTheme="minorHAnsi"/>
          <w:sz w:val="22"/>
          <w:szCs w:val="22"/>
        </w:rPr>
        <w:t xml:space="preserve">El 8 de junio las autoridades argelinas anunciaron la suspensión del </w:t>
      </w:r>
      <w:hyperlink r:id="rId7" w:history="1">
        <w:r w:rsidRPr="00E377A0">
          <w:rPr>
            <w:rStyle w:val="Hipervnculo"/>
            <w:rFonts w:asciiTheme="minorHAnsi" w:hAnsiTheme="minorHAnsi"/>
            <w:sz w:val="22"/>
            <w:szCs w:val="22"/>
          </w:rPr>
          <w:t xml:space="preserve">Tratado de amistad, buena vecindad y </w:t>
        </w:r>
        <w:r w:rsidR="00011D6C" w:rsidRPr="00E377A0">
          <w:rPr>
            <w:rStyle w:val="Hipervnculo"/>
            <w:rFonts w:asciiTheme="minorHAnsi" w:hAnsiTheme="minorHAnsi"/>
            <w:sz w:val="22"/>
            <w:szCs w:val="22"/>
          </w:rPr>
          <w:t>c</w:t>
        </w:r>
        <w:r w:rsidRPr="00E377A0">
          <w:rPr>
            <w:rStyle w:val="Hipervnculo"/>
            <w:rFonts w:asciiTheme="minorHAnsi" w:hAnsiTheme="minorHAnsi"/>
            <w:sz w:val="22"/>
            <w:szCs w:val="22"/>
          </w:rPr>
          <w:t>ooperación</w:t>
        </w:r>
      </w:hyperlink>
      <w:r w:rsidRPr="00E377A0">
        <w:rPr>
          <w:rFonts w:asciiTheme="minorHAnsi" w:hAnsiTheme="minorHAnsi"/>
          <w:sz w:val="22"/>
          <w:szCs w:val="22"/>
        </w:rPr>
        <w:t>, firmada entre España y Argelia en 2002</w:t>
      </w:r>
      <w:r w:rsidR="00011D6C" w:rsidRPr="00E377A0">
        <w:rPr>
          <w:rFonts w:asciiTheme="minorHAnsi" w:hAnsiTheme="minorHAnsi"/>
          <w:sz w:val="22"/>
          <w:szCs w:val="22"/>
        </w:rPr>
        <w:t>,</w:t>
      </w:r>
      <w:hyperlink r:id="rId8" w:history="1"/>
      <w:r w:rsidR="006C2DDC" w:rsidRPr="00E377A0">
        <w:rPr>
          <w:rFonts w:asciiTheme="minorHAnsi" w:hAnsiTheme="minorHAnsi"/>
          <w:sz w:val="22"/>
          <w:szCs w:val="22"/>
        </w:rPr>
        <w:t xml:space="preserve"> </w:t>
      </w:r>
      <w:r w:rsidR="00011D6C" w:rsidRPr="00E377A0">
        <w:rPr>
          <w:rFonts w:asciiTheme="minorHAnsi" w:hAnsiTheme="minorHAnsi"/>
          <w:sz w:val="22"/>
          <w:szCs w:val="22"/>
        </w:rPr>
        <w:t xml:space="preserve">que no incluye temas comerciales porque la política comercial es una competencia comunitaria. Las relaciones comerciales se rigen por el </w:t>
      </w:r>
      <w:hyperlink r:id="rId9" w:history="1">
        <w:r w:rsidR="00011D6C" w:rsidRPr="00E377A0">
          <w:rPr>
            <w:rStyle w:val="Hipervnculo"/>
            <w:rFonts w:asciiTheme="minorHAnsi" w:hAnsiTheme="minorHAnsi"/>
            <w:sz w:val="22"/>
            <w:szCs w:val="22"/>
          </w:rPr>
          <w:t>Acuerdo de Asociación entre la UE y Argelia</w:t>
        </w:r>
      </w:hyperlink>
      <w:r w:rsidR="00011D6C" w:rsidRPr="00E377A0">
        <w:rPr>
          <w:rFonts w:asciiTheme="minorHAnsi" w:hAnsiTheme="minorHAnsi"/>
          <w:sz w:val="22"/>
          <w:szCs w:val="22"/>
        </w:rPr>
        <w:t xml:space="preserve">, que entró en vigor en septiembre de 2005. </w:t>
      </w:r>
    </w:p>
    <w:p w14:paraId="710DD3CC" w14:textId="77777777" w:rsidR="006C2DDC" w:rsidRPr="00E377A0" w:rsidRDefault="006C2DDC" w:rsidP="00011D6C">
      <w:pPr>
        <w:pStyle w:val="Prrafodelista"/>
        <w:spacing w:after="200" w:line="240" w:lineRule="atLeast"/>
        <w:ind w:left="426"/>
        <w:jc w:val="both"/>
        <w:rPr>
          <w:rFonts w:asciiTheme="minorHAnsi" w:hAnsiTheme="minorHAnsi"/>
          <w:sz w:val="22"/>
          <w:szCs w:val="22"/>
        </w:rPr>
      </w:pPr>
    </w:p>
    <w:p w14:paraId="3A831E30" w14:textId="77777777" w:rsidR="006710B4" w:rsidRPr="00E377A0" w:rsidRDefault="007251A2" w:rsidP="00011D6C">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Ese mismo día</w:t>
      </w:r>
      <w:r w:rsidR="00E377A0">
        <w:rPr>
          <w:rFonts w:asciiTheme="minorHAnsi" w:hAnsiTheme="minorHAnsi"/>
          <w:sz w:val="22"/>
          <w:szCs w:val="22"/>
        </w:rPr>
        <w:t xml:space="preserve"> </w:t>
      </w:r>
      <w:r w:rsidRPr="00DB7936">
        <w:rPr>
          <w:rFonts w:asciiTheme="minorHAnsi" w:hAnsiTheme="minorHAnsi"/>
          <w:sz w:val="22"/>
          <w:szCs w:val="22"/>
        </w:rPr>
        <w:t xml:space="preserve">la ABEF (Asociación de bancos y establecimientos financieros </w:t>
      </w:r>
      <w:r w:rsidRPr="007D2689">
        <w:rPr>
          <w:rFonts w:asciiTheme="minorHAnsi" w:hAnsiTheme="minorHAnsi"/>
          <w:sz w:val="22"/>
          <w:szCs w:val="22"/>
        </w:rPr>
        <w:t>de Argelia</w:t>
      </w:r>
      <w:r w:rsidRPr="00DB7936">
        <w:rPr>
          <w:rFonts w:asciiTheme="minorHAnsi" w:hAnsiTheme="minorHAnsi"/>
          <w:sz w:val="22"/>
          <w:szCs w:val="22"/>
        </w:rPr>
        <w:t xml:space="preserve">, ver anexo) envió una carta a sus asociados requiriendo </w:t>
      </w:r>
      <w:r w:rsidRPr="00DB7936">
        <w:rPr>
          <w:rFonts w:asciiTheme="minorHAnsi" w:hAnsiTheme="minorHAnsi"/>
          <w:sz w:val="22"/>
          <w:szCs w:val="22"/>
          <w:u w:val="single"/>
        </w:rPr>
        <w:t xml:space="preserve">la congelación de las domiciliaciones bancarias para el pago de las operaciones de comercio exterior </w:t>
      </w:r>
      <w:r w:rsidRPr="00DB7936">
        <w:rPr>
          <w:rFonts w:asciiTheme="minorHAnsi" w:hAnsiTheme="minorHAnsi"/>
          <w:sz w:val="22"/>
          <w:szCs w:val="22"/>
        </w:rPr>
        <w:t>(importación y exportación) con España</w:t>
      </w:r>
      <w:r>
        <w:rPr>
          <w:rFonts w:asciiTheme="minorHAnsi" w:hAnsiTheme="minorHAnsi"/>
          <w:sz w:val="22"/>
          <w:szCs w:val="22"/>
        </w:rPr>
        <w:t>.</w:t>
      </w:r>
    </w:p>
    <w:p w14:paraId="5329F2A0" w14:textId="77777777" w:rsidR="00411A4A" w:rsidRPr="00E377A0" w:rsidRDefault="00411A4A" w:rsidP="00011D6C">
      <w:pPr>
        <w:pStyle w:val="Prrafodelista"/>
        <w:spacing w:after="200" w:line="240" w:lineRule="atLeast"/>
        <w:ind w:left="426"/>
        <w:jc w:val="both"/>
        <w:rPr>
          <w:rFonts w:asciiTheme="minorHAnsi" w:hAnsiTheme="minorHAnsi"/>
          <w:sz w:val="22"/>
          <w:szCs w:val="22"/>
        </w:rPr>
      </w:pPr>
    </w:p>
    <w:p w14:paraId="0B4DC024" w14:textId="77777777" w:rsidR="0002362C" w:rsidRPr="00E377A0" w:rsidRDefault="007251A2" w:rsidP="00011D6C">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w:t>
      </w:r>
      <w:r w:rsidRPr="00E377A0">
        <w:rPr>
          <w:rFonts w:asciiTheme="minorHAnsi" w:hAnsiTheme="minorHAnsi"/>
          <w:sz w:val="22"/>
          <w:szCs w:val="22"/>
        </w:rPr>
        <w:t xml:space="preserve">n Argelia </w:t>
      </w:r>
      <w:r>
        <w:rPr>
          <w:rFonts w:asciiTheme="minorHAnsi" w:hAnsiTheme="minorHAnsi"/>
          <w:sz w:val="22"/>
          <w:szCs w:val="22"/>
        </w:rPr>
        <w:t>t</w:t>
      </w:r>
      <w:r w:rsidR="0002362C" w:rsidRPr="00E377A0">
        <w:rPr>
          <w:rFonts w:asciiTheme="minorHAnsi" w:hAnsiTheme="minorHAnsi"/>
          <w:sz w:val="22"/>
          <w:szCs w:val="22"/>
        </w:rPr>
        <w:t xml:space="preserve">odas las operaciones de importación de bienes y servicios exigen domiciliación bancaria. Esto implica abrir </w:t>
      </w:r>
      <w:r>
        <w:rPr>
          <w:rFonts w:asciiTheme="minorHAnsi" w:hAnsiTheme="minorHAnsi"/>
          <w:sz w:val="22"/>
          <w:szCs w:val="22"/>
        </w:rPr>
        <w:t>una cuenta</w:t>
      </w:r>
      <w:r w:rsidR="0002362C" w:rsidRPr="00E377A0">
        <w:rPr>
          <w:rFonts w:asciiTheme="minorHAnsi" w:hAnsiTheme="minorHAnsi"/>
          <w:sz w:val="22"/>
          <w:szCs w:val="22"/>
        </w:rPr>
        <w:t xml:space="preserve"> en </w:t>
      </w:r>
      <w:r>
        <w:rPr>
          <w:rFonts w:asciiTheme="minorHAnsi" w:hAnsiTheme="minorHAnsi"/>
          <w:sz w:val="22"/>
          <w:szCs w:val="22"/>
        </w:rPr>
        <w:t>un</w:t>
      </w:r>
      <w:r w:rsidR="0002362C" w:rsidRPr="00E377A0">
        <w:rPr>
          <w:rFonts w:asciiTheme="minorHAnsi" w:hAnsiTheme="minorHAnsi"/>
          <w:sz w:val="22"/>
          <w:szCs w:val="22"/>
        </w:rPr>
        <w:t xml:space="preserve"> banco para que se pueda hacer el pago en divisas. Sólo se exceptúa a operaciones de importe equivalente a 100.000 dinares</w:t>
      </w:r>
      <w:r w:rsidR="00E377A0">
        <w:rPr>
          <w:rFonts w:asciiTheme="minorHAnsi" w:hAnsiTheme="minorHAnsi"/>
          <w:sz w:val="22"/>
          <w:szCs w:val="22"/>
        </w:rPr>
        <w:t xml:space="preserve"> (unos 650</w:t>
      </w:r>
      <w:r w:rsidR="0002362C" w:rsidRPr="00E377A0">
        <w:rPr>
          <w:rFonts w:asciiTheme="minorHAnsi" w:hAnsiTheme="minorHAnsi"/>
          <w:sz w:val="22"/>
          <w:szCs w:val="22"/>
        </w:rPr>
        <w:t xml:space="preserve">€) </w:t>
      </w:r>
      <w:r w:rsidR="00E377A0">
        <w:rPr>
          <w:rFonts w:asciiTheme="minorHAnsi" w:hAnsiTheme="minorHAnsi"/>
          <w:sz w:val="22"/>
          <w:szCs w:val="22"/>
        </w:rPr>
        <w:t xml:space="preserve">en valor </w:t>
      </w:r>
      <w:r w:rsidR="0002362C" w:rsidRPr="00E377A0">
        <w:rPr>
          <w:rFonts w:asciiTheme="minorHAnsi" w:hAnsiTheme="minorHAnsi"/>
          <w:sz w:val="22"/>
          <w:szCs w:val="22"/>
        </w:rPr>
        <w:t>FOB. En la práctica, esto obliga al importador a depositar el importe de la mercancía a importar en el banco, independientemente del medio de pago acordado con el exportador (crédito documentario, remesa documentaria, transferencia bancaria).</w:t>
      </w:r>
    </w:p>
    <w:p w14:paraId="40D0DAA7" w14:textId="77777777" w:rsidR="0002362C" w:rsidRPr="00E377A0" w:rsidRDefault="0002362C" w:rsidP="00011D6C">
      <w:pPr>
        <w:pStyle w:val="Prrafodelista"/>
        <w:spacing w:after="200" w:line="240" w:lineRule="atLeast"/>
        <w:ind w:left="426"/>
        <w:jc w:val="both"/>
        <w:rPr>
          <w:rFonts w:asciiTheme="minorHAnsi" w:hAnsiTheme="minorHAnsi"/>
          <w:sz w:val="22"/>
          <w:szCs w:val="22"/>
        </w:rPr>
      </w:pPr>
    </w:p>
    <w:p w14:paraId="27610DA3" w14:textId="77777777" w:rsidR="00411A4A" w:rsidRDefault="006710B4" w:rsidP="00011D6C">
      <w:pPr>
        <w:pStyle w:val="Prrafodelista"/>
        <w:numPr>
          <w:ilvl w:val="0"/>
          <w:numId w:val="12"/>
        </w:numPr>
        <w:spacing w:after="200" w:line="240" w:lineRule="atLeast"/>
        <w:ind w:left="426"/>
        <w:jc w:val="both"/>
        <w:rPr>
          <w:rFonts w:asciiTheme="minorHAnsi" w:hAnsiTheme="minorHAnsi"/>
          <w:sz w:val="22"/>
          <w:szCs w:val="22"/>
        </w:rPr>
      </w:pPr>
      <w:r w:rsidRPr="00E377A0">
        <w:rPr>
          <w:rFonts w:asciiTheme="minorHAnsi" w:hAnsiTheme="minorHAnsi"/>
          <w:sz w:val="22"/>
          <w:szCs w:val="22"/>
        </w:rPr>
        <w:t>En el caso de productos destinados a la venta sin transformación la domiciliación debe hacerse al menos 30 días antes del embarque de la mercancía y por un importe del 120% de la factura</w:t>
      </w:r>
      <w:r w:rsidR="00411A4A" w:rsidRPr="00E377A0">
        <w:rPr>
          <w:rFonts w:asciiTheme="minorHAnsi" w:hAnsiTheme="minorHAnsi"/>
          <w:sz w:val="22"/>
          <w:szCs w:val="22"/>
        </w:rPr>
        <w:t xml:space="preserve">. </w:t>
      </w:r>
      <w:r w:rsidRPr="00E377A0">
        <w:rPr>
          <w:rFonts w:asciiTheme="minorHAnsi" w:hAnsiTheme="minorHAnsi"/>
          <w:sz w:val="22"/>
          <w:szCs w:val="22"/>
        </w:rPr>
        <w:t>Para el resto de productos importados no existe plazo fijado para la domiciliación bancaria y el importe es del 100%.</w:t>
      </w:r>
    </w:p>
    <w:p w14:paraId="5154FF4E" w14:textId="77777777" w:rsidR="007251A2" w:rsidRPr="007251A2" w:rsidRDefault="007251A2" w:rsidP="007251A2">
      <w:pPr>
        <w:pStyle w:val="Prrafodelista"/>
        <w:rPr>
          <w:rFonts w:asciiTheme="minorHAnsi" w:hAnsiTheme="minorHAnsi"/>
          <w:sz w:val="22"/>
          <w:szCs w:val="22"/>
        </w:rPr>
      </w:pPr>
    </w:p>
    <w:p w14:paraId="44D32C0D" w14:textId="77777777" w:rsidR="00411A4A" w:rsidRDefault="007251A2" w:rsidP="004F040B">
      <w:pPr>
        <w:pStyle w:val="Prrafodelista"/>
        <w:numPr>
          <w:ilvl w:val="0"/>
          <w:numId w:val="12"/>
        </w:numPr>
        <w:spacing w:after="200" w:line="240" w:lineRule="atLeast"/>
        <w:ind w:left="426"/>
        <w:jc w:val="both"/>
        <w:rPr>
          <w:rFonts w:asciiTheme="minorHAnsi" w:hAnsiTheme="minorHAnsi"/>
          <w:sz w:val="22"/>
          <w:szCs w:val="22"/>
        </w:rPr>
      </w:pPr>
      <w:r w:rsidRPr="007251A2">
        <w:rPr>
          <w:rFonts w:asciiTheme="minorHAnsi" w:hAnsiTheme="minorHAnsi"/>
          <w:sz w:val="22"/>
          <w:szCs w:val="22"/>
        </w:rPr>
        <w:t xml:space="preserve">La carta se dirige a todos los directores de los bancos y establecimientos financieros argelinos y en ella se solicita que </w:t>
      </w:r>
      <w:r w:rsidR="004F040B">
        <w:rPr>
          <w:rFonts w:asciiTheme="minorHAnsi" w:hAnsiTheme="minorHAnsi"/>
          <w:sz w:val="22"/>
          <w:szCs w:val="22"/>
        </w:rPr>
        <w:t xml:space="preserve">la congelación de las domiciliaciones bancarias que afecten al comercio con España </w:t>
      </w:r>
      <w:r w:rsidRPr="007251A2">
        <w:rPr>
          <w:rFonts w:asciiTheme="minorHAnsi" w:hAnsiTheme="minorHAnsi"/>
          <w:sz w:val="22"/>
          <w:szCs w:val="22"/>
        </w:rPr>
        <w:t>comience a aplicarse a partir del 9 de junio, lo que imposibilitaría las exportaciones desde España a Argelia desde esa fecha. En principio, se podría entender que las domiciliaciones ya hechas con anterioridad a esa fecha no deberían quedar afectadas</w:t>
      </w:r>
      <w:r w:rsidR="004F040B">
        <w:rPr>
          <w:rFonts w:asciiTheme="minorHAnsi" w:hAnsiTheme="minorHAnsi"/>
          <w:sz w:val="22"/>
          <w:szCs w:val="22"/>
        </w:rPr>
        <w:t>.</w:t>
      </w:r>
    </w:p>
    <w:p w14:paraId="744DCAF5" w14:textId="77777777" w:rsidR="007251A2" w:rsidRPr="007251A2" w:rsidRDefault="007251A2" w:rsidP="007251A2">
      <w:pPr>
        <w:pStyle w:val="Prrafodelista"/>
        <w:rPr>
          <w:rFonts w:asciiTheme="minorHAnsi" w:hAnsiTheme="minorHAnsi"/>
          <w:sz w:val="22"/>
          <w:szCs w:val="22"/>
        </w:rPr>
      </w:pPr>
    </w:p>
    <w:p w14:paraId="677009D8" w14:textId="77777777" w:rsidR="007251A2" w:rsidRDefault="007251A2" w:rsidP="007251A2">
      <w:pPr>
        <w:pStyle w:val="Prrafodelista"/>
        <w:numPr>
          <w:ilvl w:val="0"/>
          <w:numId w:val="12"/>
        </w:numPr>
        <w:spacing w:after="200" w:line="240" w:lineRule="atLeast"/>
        <w:ind w:left="426"/>
        <w:jc w:val="both"/>
        <w:rPr>
          <w:rFonts w:asciiTheme="minorHAnsi" w:hAnsiTheme="minorHAnsi"/>
          <w:sz w:val="22"/>
          <w:szCs w:val="22"/>
        </w:rPr>
      </w:pPr>
      <w:r>
        <w:rPr>
          <w:rFonts w:asciiTheme="minorHAnsi" w:hAnsiTheme="minorHAnsi"/>
          <w:sz w:val="22"/>
          <w:szCs w:val="22"/>
        </w:rPr>
        <w:t>En cualquier caso, l</w:t>
      </w:r>
      <w:r w:rsidRPr="00E377A0">
        <w:rPr>
          <w:rFonts w:asciiTheme="minorHAnsi" w:hAnsiTheme="minorHAnsi"/>
          <w:sz w:val="22"/>
          <w:szCs w:val="22"/>
        </w:rPr>
        <w:t>as operaciones tienen que pasar necesariamente por el Banco Central, por lo que este último tiene la potestad de bloquear cualquier pago o cobro</w:t>
      </w:r>
    </w:p>
    <w:p w14:paraId="50369296" w14:textId="77777777" w:rsidR="004F040B" w:rsidRDefault="004F040B" w:rsidP="0002362C">
      <w:pPr>
        <w:spacing w:after="200" w:line="240" w:lineRule="atLeast"/>
        <w:jc w:val="both"/>
        <w:rPr>
          <w:rFonts w:asciiTheme="minorHAnsi" w:hAnsiTheme="minorHAnsi"/>
          <w:sz w:val="22"/>
          <w:szCs w:val="22"/>
        </w:rPr>
      </w:pPr>
    </w:p>
    <w:p w14:paraId="58A26CA4" w14:textId="77777777" w:rsidR="00411A4A" w:rsidRPr="00E377A0" w:rsidRDefault="00E92A23" w:rsidP="0002362C">
      <w:pPr>
        <w:spacing w:after="200" w:line="240" w:lineRule="atLeast"/>
        <w:jc w:val="both"/>
        <w:rPr>
          <w:rFonts w:asciiTheme="minorHAnsi" w:hAnsiTheme="minorHAnsi"/>
          <w:sz w:val="22"/>
          <w:szCs w:val="22"/>
        </w:rPr>
      </w:pPr>
      <w:r w:rsidRPr="00E377A0">
        <w:rPr>
          <w:rFonts w:asciiTheme="minorHAnsi" w:hAnsiTheme="minorHAnsi"/>
          <w:sz w:val="22"/>
          <w:szCs w:val="22"/>
        </w:rPr>
        <w:t xml:space="preserve">Esta </w:t>
      </w:r>
      <w:r w:rsidR="00954867" w:rsidRPr="00E377A0">
        <w:rPr>
          <w:rFonts w:asciiTheme="minorHAnsi" w:hAnsiTheme="minorHAnsi"/>
          <w:sz w:val="22"/>
          <w:szCs w:val="22"/>
        </w:rPr>
        <w:t xml:space="preserve">medida </w:t>
      </w:r>
      <w:r w:rsidR="006710B4" w:rsidRPr="00E377A0">
        <w:rPr>
          <w:rFonts w:asciiTheme="minorHAnsi" w:hAnsiTheme="minorHAnsi"/>
          <w:sz w:val="22"/>
          <w:szCs w:val="22"/>
        </w:rPr>
        <w:t xml:space="preserve">puede </w:t>
      </w:r>
      <w:r w:rsidRPr="00E377A0">
        <w:rPr>
          <w:rFonts w:asciiTheme="minorHAnsi" w:hAnsiTheme="minorHAnsi"/>
          <w:sz w:val="22"/>
          <w:szCs w:val="22"/>
        </w:rPr>
        <w:t>imposibilitar las</w:t>
      </w:r>
      <w:r w:rsidR="006710B4" w:rsidRPr="00E377A0">
        <w:rPr>
          <w:rFonts w:asciiTheme="minorHAnsi" w:hAnsiTheme="minorHAnsi"/>
          <w:sz w:val="22"/>
          <w:szCs w:val="22"/>
        </w:rPr>
        <w:t xml:space="preserve"> exportaciones desde España a Argelia</w:t>
      </w:r>
      <w:r w:rsidRPr="00E377A0">
        <w:rPr>
          <w:rFonts w:asciiTheme="minorHAnsi" w:hAnsiTheme="minorHAnsi"/>
          <w:sz w:val="22"/>
          <w:szCs w:val="22"/>
        </w:rPr>
        <w:t xml:space="preserve"> desde el 9 de junio, por lo que las autoridades de Comercio de España y de la Comisión Europea están trabajando en una respuesta conjunta frente a esta medida discriminatoria contra España.</w:t>
      </w:r>
    </w:p>
    <w:p w14:paraId="6A2EBBD9" w14:textId="77777777" w:rsidR="004F040B" w:rsidRDefault="004F040B" w:rsidP="0062256B">
      <w:pPr>
        <w:spacing w:after="200" w:line="240" w:lineRule="atLeast"/>
        <w:jc w:val="both"/>
        <w:rPr>
          <w:rFonts w:asciiTheme="minorHAnsi" w:hAnsiTheme="minorHAnsi"/>
          <w:sz w:val="22"/>
          <w:szCs w:val="22"/>
        </w:rPr>
      </w:pPr>
    </w:p>
    <w:p w14:paraId="1DE95FBB" w14:textId="77777777" w:rsidR="006C2DDC" w:rsidRDefault="00411A4A" w:rsidP="0062256B">
      <w:pPr>
        <w:spacing w:after="200" w:line="240" w:lineRule="atLeast"/>
        <w:jc w:val="both"/>
        <w:rPr>
          <w:rFonts w:asciiTheme="minorHAnsi" w:hAnsiTheme="minorHAnsi"/>
          <w:b/>
          <w:sz w:val="22"/>
          <w:szCs w:val="22"/>
        </w:rPr>
      </w:pPr>
      <w:r w:rsidRPr="00E377A0">
        <w:rPr>
          <w:rFonts w:asciiTheme="minorHAnsi" w:hAnsiTheme="minorHAnsi"/>
          <w:sz w:val="22"/>
          <w:szCs w:val="22"/>
        </w:rPr>
        <w:t xml:space="preserve">En caso de tener una incidencia, </w:t>
      </w:r>
      <w:r w:rsidRPr="00E377A0">
        <w:rPr>
          <w:rFonts w:asciiTheme="minorHAnsi" w:hAnsiTheme="minorHAnsi"/>
          <w:b/>
          <w:sz w:val="22"/>
          <w:szCs w:val="22"/>
        </w:rPr>
        <w:t xml:space="preserve">las empresas pueden remitir sus consultas a la Oficina Económica y Comercial en Argel: </w:t>
      </w:r>
      <w:hyperlink r:id="rId10" w:history="1">
        <w:r w:rsidR="006C2DDC" w:rsidRPr="00E377A0">
          <w:rPr>
            <w:rStyle w:val="Hipervnculo"/>
            <w:rFonts w:asciiTheme="minorHAnsi" w:hAnsiTheme="minorHAnsi"/>
            <w:b/>
            <w:sz w:val="22"/>
            <w:szCs w:val="22"/>
          </w:rPr>
          <w:t>argel@comercio.mineco.es</w:t>
        </w:r>
      </w:hyperlink>
    </w:p>
    <w:p w14:paraId="1D0A51FE" w14:textId="77777777" w:rsidR="006C2DDC" w:rsidRDefault="006C2DDC">
      <w:pPr>
        <w:rPr>
          <w:rFonts w:asciiTheme="minorHAnsi" w:hAnsiTheme="minorHAnsi"/>
          <w:b/>
          <w:sz w:val="22"/>
          <w:szCs w:val="22"/>
        </w:rPr>
      </w:pPr>
      <w:r>
        <w:rPr>
          <w:rFonts w:asciiTheme="minorHAnsi" w:hAnsiTheme="minorHAnsi"/>
          <w:b/>
          <w:sz w:val="22"/>
          <w:szCs w:val="22"/>
        </w:rPr>
        <w:br w:type="page"/>
      </w:r>
    </w:p>
    <w:p w14:paraId="2FF83492" w14:textId="77777777" w:rsidR="006710B4" w:rsidRPr="0088133C" w:rsidRDefault="006710B4" w:rsidP="006710B4">
      <w:pPr>
        <w:spacing w:after="200" w:line="360" w:lineRule="auto"/>
        <w:rPr>
          <w:rFonts w:asciiTheme="minorHAnsi" w:hAnsiTheme="minorHAnsi"/>
          <w:b/>
          <w:sz w:val="22"/>
          <w:szCs w:val="22"/>
          <w:lang w:val="fr-FR"/>
        </w:rPr>
      </w:pPr>
      <w:r w:rsidRPr="0088133C">
        <w:rPr>
          <w:rFonts w:asciiTheme="minorHAnsi" w:hAnsiTheme="minorHAnsi"/>
          <w:b/>
          <w:sz w:val="22"/>
          <w:szCs w:val="22"/>
          <w:lang w:val="fr-FR"/>
        </w:rPr>
        <w:lastRenderedPageBreak/>
        <w:t>ANEXO I</w:t>
      </w:r>
    </w:p>
    <w:p w14:paraId="6005A0D3" w14:textId="77777777" w:rsidR="006710B4" w:rsidRPr="0088133C" w:rsidRDefault="006710B4" w:rsidP="006710B4">
      <w:pPr>
        <w:spacing w:after="200" w:line="360" w:lineRule="auto"/>
        <w:rPr>
          <w:rFonts w:asciiTheme="minorHAnsi" w:hAnsiTheme="minorHAnsi"/>
          <w:b/>
          <w:sz w:val="22"/>
          <w:szCs w:val="22"/>
          <w:lang w:val="fr-FR"/>
        </w:rPr>
      </w:pPr>
      <w:r w:rsidRPr="0088133C">
        <w:rPr>
          <w:rFonts w:asciiTheme="minorHAnsi" w:hAnsiTheme="minorHAnsi"/>
          <w:b/>
          <w:sz w:val="22"/>
          <w:szCs w:val="22"/>
          <w:lang w:val="fr-FR"/>
        </w:rPr>
        <w:t>ABEF : Note n°350 - Gel des domiciliations bancaires des opérations de commerce extérieur de produits et services de et vers l'Espagne</w:t>
      </w:r>
    </w:p>
    <w:p w14:paraId="52F7AC0C" w14:textId="77777777" w:rsidR="006710B4" w:rsidRPr="00954867" w:rsidRDefault="006710B4" w:rsidP="0088133C">
      <w:pPr>
        <w:spacing w:after="200" w:line="276" w:lineRule="auto"/>
        <w:rPr>
          <w:rFonts w:asciiTheme="minorHAnsi" w:hAnsiTheme="minorHAnsi"/>
          <w:sz w:val="22"/>
          <w:szCs w:val="22"/>
          <w:lang w:val="fr-FR"/>
        </w:rPr>
      </w:pPr>
      <w:r w:rsidRPr="00954867">
        <w:rPr>
          <w:rFonts w:asciiTheme="minorHAnsi" w:hAnsiTheme="minorHAnsi"/>
          <w:sz w:val="22"/>
          <w:szCs w:val="22"/>
          <w:lang w:val="fr-FR"/>
        </w:rPr>
        <w:t>Association Professionnelle des Banques et des Etablissements Financiers</w:t>
      </w:r>
    </w:p>
    <w:p w14:paraId="029029B2"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Le Délégué Général</w:t>
      </w:r>
    </w:p>
    <w:p w14:paraId="6F9C4344"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N°350-DG / 2022</w:t>
      </w:r>
    </w:p>
    <w:p w14:paraId="58CD6AFC"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Alger le 08/06/2022</w:t>
      </w:r>
    </w:p>
    <w:p w14:paraId="5B8E29E0"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Messieurs les Directeurs Généraux des Banques et des Etablissements Financiers</w:t>
      </w:r>
    </w:p>
    <w:p w14:paraId="77E95887"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Objet : Gel des domiciliations bancaires des opérations de commerce extérieur de produits et services de et vers l'Espagne.</w:t>
      </w:r>
    </w:p>
    <w:p w14:paraId="4DF6314C" w14:textId="77777777" w:rsidR="006710B4" w:rsidRPr="00954867" w:rsidRDefault="006710B4" w:rsidP="0088133C">
      <w:pPr>
        <w:spacing w:after="200" w:line="276" w:lineRule="auto"/>
        <w:rPr>
          <w:rFonts w:asciiTheme="minorHAnsi" w:hAnsiTheme="minorHAnsi"/>
          <w:sz w:val="22"/>
          <w:szCs w:val="22"/>
          <w:lang w:val="fr-FR"/>
        </w:rPr>
      </w:pPr>
      <w:r w:rsidRPr="00954867">
        <w:rPr>
          <w:rFonts w:asciiTheme="minorHAnsi" w:hAnsiTheme="minorHAnsi"/>
          <w:sz w:val="22"/>
          <w:szCs w:val="22"/>
          <w:lang w:val="fr-FR"/>
        </w:rPr>
        <w:t>Messieurs les Directeurs Généraux,</w:t>
      </w:r>
    </w:p>
    <w:p w14:paraId="78CE0CFE"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Suite à la suspension du traité d'amitié, de bon voisinage et de coopération avec le Royaume d'Espagne, il vous est demande de procéder au Gel des domiciliations bancaires des opérations de commerce extérieur de produits et services, de et vers l'Espagne, et ce, à compter du jeudi 09 juin 2022</w:t>
      </w:r>
    </w:p>
    <w:p w14:paraId="13D56B0E" w14:textId="77777777" w:rsidR="006710B4" w:rsidRPr="001F20DD" w:rsidRDefault="006710B4" w:rsidP="0088133C">
      <w:pPr>
        <w:spacing w:after="200" w:line="276" w:lineRule="auto"/>
        <w:rPr>
          <w:rFonts w:asciiTheme="minorHAnsi" w:hAnsiTheme="minorHAnsi"/>
          <w:sz w:val="22"/>
          <w:szCs w:val="22"/>
          <w:lang w:val="fr-FR"/>
        </w:rPr>
      </w:pPr>
      <w:r w:rsidRPr="001F20DD">
        <w:rPr>
          <w:rFonts w:asciiTheme="minorHAnsi" w:hAnsiTheme="minorHAnsi"/>
          <w:sz w:val="22"/>
          <w:szCs w:val="22"/>
          <w:lang w:val="fr-FR"/>
        </w:rPr>
        <w:t>A ce titre, j'ai l'honneur de vous demander de bien vouloir instruire vos services concernés, à l'effet de prendre toutes les dispositions nécessaires pour une application stricte de cette mesure</w:t>
      </w:r>
    </w:p>
    <w:p w14:paraId="7D78B872" w14:textId="77777777" w:rsidR="006710B4" w:rsidRPr="0062256B" w:rsidRDefault="006710B4" w:rsidP="0088133C">
      <w:pPr>
        <w:spacing w:after="200" w:line="276" w:lineRule="auto"/>
        <w:rPr>
          <w:rFonts w:asciiTheme="minorHAnsi" w:hAnsiTheme="minorHAnsi"/>
          <w:sz w:val="22"/>
          <w:szCs w:val="22"/>
          <w:lang w:val="fr-FR"/>
        </w:rPr>
      </w:pPr>
      <w:r w:rsidRPr="0062256B">
        <w:rPr>
          <w:rFonts w:asciiTheme="minorHAnsi" w:hAnsiTheme="minorHAnsi"/>
          <w:sz w:val="22"/>
          <w:szCs w:val="22"/>
          <w:lang w:val="fr-FR"/>
        </w:rPr>
        <w:t>Veuillez agréer, Messieurs les Directeurs Généraux, l'expression de mes sincères salutations.</w:t>
      </w:r>
    </w:p>
    <w:p w14:paraId="1B48EEBE" w14:textId="77777777" w:rsidR="006710B4" w:rsidRPr="006710B4" w:rsidRDefault="006710B4" w:rsidP="0088133C">
      <w:pPr>
        <w:spacing w:after="200" w:line="276" w:lineRule="auto"/>
        <w:rPr>
          <w:rFonts w:asciiTheme="minorHAnsi" w:hAnsiTheme="minorHAnsi"/>
          <w:sz w:val="22"/>
          <w:szCs w:val="22"/>
          <w:lang w:val="es-ES"/>
        </w:rPr>
      </w:pPr>
      <w:r w:rsidRPr="006710B4">
        <w:rPr>
          <w:rFonts w:asciiTheme="minorHAnsi" w:hAnsiTheme="minorHAnsi"/>
          <w:sz w:val="22"/>
          <w:szCs w:val="22"/>
          <w:lang w:val="es-ES"/>
        </w:rPr>
        <w:t>Rachid BELAID </w:t>
      </w:r>
    </w:p>
    <w:p w14:paraId="57FBB647" w14:textId="77777777" w:rsidR="006710B4" w:rsidRPr="006710B4" w:rsidRDefault="006710B4" w:rsidP="0088133C">
      <w:pPr>
        <w:spacing w:after="200" w:line="276" w:lineRule="auto"/>
        <w:rPr>
          <w:rFonts w:asciiTheme="minorHAnsi" w:hAnsiTheme="minorHAnsi"/>
          <w:sz w:val="22"/>
          <w:szCs w:val="22"/>
          <w:lang w:val="es-ES"/>
        </w:rPr>
      </w:pPr>
      <w:proofErr w:type="spellStart"/>
      <w:r w:rsidRPr="006710B4">
        <w:rPr>
          <w:rFonts w:asciiTheme="minorHAnsi" w:hAnsiTheme="minorHAnsi"/>
          <w:sz w:val="22"/>
          <w:szCs w:val="22"/>
          <w:lang w:val="es-ES"/>
        </w:rPr>
        <w:t>Délégué</w:t>
      </w:r>
      <w:proofErr w:type="spellEnd"/>
      <w:r w:rsidRPr="006710B4">
        <w:rPr>
          <w:rFonts w:asciiTheme="minorHAnsi" w:hAnsiTheme="minorHAnsi"/>
          <w:sz w:val="22"/>
          <w:szCs w:val="22"/>
          <w:lang w:val="es-ES"/>
        </w:rPr>
        <w:t xml:space="preserve"> </w:t>
      </w:r>
      <w:proofErr w:type="spellStart"/>
      <w:r w:rsidRPr="006710B4">
        <w:rPr>
          <w:rFonts w:asciiTheme="minorHAnsi" w:hAnsiTheme="minorHAnsi"/>
          <w:sz w:val="22"/>
          <w:szCs w:val="22"/>
          <w:lang w:val="es-ES"/>
        </w:rPr>
        <w:t>Général</w:t>
      </w:r>
      <w:proofErr w:type="spellEnd"/>
    </w:p>
    <w:p w14:paraId="6E8CB807" w14:textId="77777777" w:rsidR="006710B4" w:rsidRPr="006710B4" w:rsidRDefault="006710B4" w:rsidP="0088133C">
      <w:pPr>
        <w:spacing w:after="200" w:line="276" w:lineRule="auto"/>
        <w:rPr>
          <w:rFonts w:asciiTheme="minorHAnsi" w:hAnsiTheme="minorHAnsi"/>
          <w:sz w:val="22"/>
          <w:szCs w:val="22"/>
          <w:lang w:val="es-ES"/>
        </w:rPr>
      </w:pPr>
    </w:p>
    <w:p w14:paraId="277CD683" w14:textId="77777777" w:rsidR="006710B4" w:rsidRPr="006710B4" w:rsidRDefault="006710B4" w:rsidP="0088133C">
      <w:pPr>
        <w:spacing w:after="200" w:line="276" w:lineRule="auto"/>
        <w:rPr>
          <w:rFonts w:asciiTheme="minorHAnsi" w:hAnsiTheme="minorHAnsi"/>
          <w:sz w:val="22"/>
          <w:szCs w:val="22"/>
          <w:lang w:val="es-ES"/>
        </w:rPr>
      </w:pPr>
      <w:r w:rsidRPr="006710B4">
        <w:rPr>
          <w:rFonts w:asciiTheme="minorHAnsi" w:hAnsiTheme="minorHAnsi"/>
          <w:sz w:val="22"/>
          <w:szCs w:val="22"/>
          <w:lang w:val="es-ES"/>
        </w:rPr>
        <w:t>​</w:t>
      </w:r>
    </w:p>
    <w:p w14:paraId="7B3E1DB4" w14:textId="77777777" w:rsidR="00224E89" w:rsidRPr="00B5373C" w:rsidRDefault="00224E89" w:rsidP="0088133C">
      <w:pPr>
        <w:spacing w:after="200" w:line="276" w:lineRule="auto"/>
        <w:rPr>
          <w:rFonts w:asciiTheme="minorHAnsi" w:hAnsiTheme="minorHAnsi"/>
          <w:sz w:val="22"/>
          <w:szCs w:val="22"/>
          <w:lang w:val="es-ES"/>
        </w:rPr>
      </w:pPr>
    </w:p>
    <w:sectPr w:rsidR="00224E89" w:rsidRPr="00B5373C">
      <w:headerReference w:type="default" r:id="rId11"/>
      <w:footerReference w:type="default" r:id="rId12"/>
      <w:headerReference w:type="first" r:id="rId13"/>
      <w:footerReference w:type="first" r:id="rId14"/>
      <w:type w:val="continuous"/>
      <w:pgSz w:w="11905" w:h="16837" w:code="9"/>
      <w:pgMar w:top="1560" w:right="1440" w:bottom="1418" w:left="1440" w:header="851" w:footer="96"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3474" w14:textId="77777777" w:rsidR="00601F28" w:rsidRDefault="00601F28">
      <w:r>
        <w:separator/>
      </w:r>
    </w:p>
  </w:endnote>
  <w:endnote w:type="continuationSeparator" w:id="0">
    <w:p w14:paraId="021BE7F6" w14:textId="77777777" w:rsidR="00601F28" w:rsidRDefault="0060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8" w:type="dxa"/>
      <w:tblInd w:w="8575" w:type="dxa"/>
      <w:tblLayout w:type="fixed"/>
      <w:tblCellMar>
        <w:left w:w="70" w:type="dxa"/>
        <w:right w:w="70" w:type="dxa"/>
      </w:tblCellMar>
      <w:tblLook w:val="0000" w:firstRow="0" w:lastRow="0" w:firstColumn="0" w:lastColumn="0" w:noHBand="0" w:noVBand="0"/>
    </w:tblPr>
    <w:tblGrid>
      <w:gridCol w:w="1418"/>
    </w:tblGrid>
    <w:tr w:rsidR="000B5D58" w14:paraId="4FE216FD" w14:textId="77777777" w:rsidTr="00FF476B">
      <w:trPr>
        <w:cantSplit/>
        <w:trHeight w:val="144"/>
      </w:trPr>
      <w:tc>
        <w:tcPr>
          <w:tcW w:w="1418" w:type="dxa"/>
          <w:vMerge w:val="restart"/>
        </w:tcPr>
        <w:p w14:paraId="1E785697" w14:textId="77777777" w:rsidR="000B5D58" w:rsidRDefault="000B5D58">
          <w:pPr>
            <w:pStyle w:val="Piedepgina"/>
            <w:spacing w:line="144" w:lineRule="exact"/>
            <w:rPr>
              <w:rFonts w:ascii="Arial" w:hAnsi="Arial"/>
              <w:sz w:val="11"/>
            </w:rPr>
          </w:pPr>
          <w:r>
            <w:rPr>
              <w:rFonts w:ascii="Arial" w:hAnsi="Arial"/>
              <w:sz w:val="11"/>
            </w:rPr>
            <w:t xml:space="preserve">MINISTERIO </w:t>
          </w:r>
        </w:p>
        <w:p w14:paraId="099EAE22" w14:textId="77777777" w:rsidR="00FF476B" w:rsidRDefault="000B5D58">
          <w:pPr>
            <w:pStyle w:val="Piedepgina"/>
            <w:spacing w:line="144" w:lineRule="exact"/>
            <w:rPr>
              <w:rFonts w:ascii="Arial" w:hAnsi="Arial"/>
              <w:sz w:val="11"/>
            </w:rPr>
          </w:pPr>
          <w:r>
            <w:rPr>
              <w:rFonts w:ascii="Arial" w:hAnsi="Arial"/>
              <w:sz w:val="11"/>
            </w:rPr>
            <w:t xml:space="preserve">DE </w:t>
          </w:r>
          <w:r w:rsidR="00FF476B">
            <w:rPr>
              <w:rFonts w:ascii="Arial" w:hAnsi="Arial"/>
              <w:sz w:val="11"/>
            </w:rPr>
            <w:t>INDUSTRIA,</w:t>
          </w:r>
          <w:r w:rsidR="00B5373C">
            <w:rPr>
              <w:rFonts w:ascii="Arial" w:hAnsi="Arial"/>
              <w:sz w:val="11"/>
            </w:rPr>
            <w:t xml:space="preserve"> COMERCIO</w:t>
          </w:r>
          <w:r w:rsidR="00FF476B">
            <w:rPr>
              <w:rFonts w:ascii="Arial" w:hAnsi="Arial"/>
              <w:sz w:val="11"/>
            </w:rPr>
            <w:t xml:space="preserve"> Y </w:t>
          </w:r>
          <w:r w:rsidR="00B5373C">
            <w:rPr>
              <w:rFonts w:ascii="Arial" w:hAnsi="Arial"/>
              <w:sz w:val="11"/>
            </w:rPr>
            <w:t>TURISMO</w:t>
          </w:r>
        </w:p>
        <w:p w14:paraId="278B0893" w14:textId="77777777" w:rsidR="000B5D58" w:rsidRDefault="000B5D58">
          <w:pPr>
            <w:pStyle w:val="Piedepgina"/>
            <w:spacing w:line="144" w:lineRule="exact"/>
            <w:rPr>
              <w:rFonts w:ascii="Arial" w:hAnsi="Arial"/>
              <w:sz w:val="11"/>
            </w:rPr>
          </w:pPr>
        </w:p>
        <w:p w14:paraId="1BD4A80D" w14:textId="77777777" w:rsidR="000B5D58" w:rsidRDefault="000B5D58">
          <w:pPr>
            <w:pStyle w:val="Piedepgina"/>
            <w:spacing w:line="144" w:lineRule="exact"/>
            <w:rPr>
              <w:rFonts w:ascii="Arial" w:hAnsi="Arial"/>
              <w:sz w:val="11"/>
            </w:rPr>
          </w:pPr>
        </w:p>
        <w:p w14:paraId="483FBA7D" w14:textId="77777777" w:rsidR="000B5D58" w:rsidRDefault="000B5D58">
          <w:pPr>
            <w:pStyle w:val="Piedepgina"/>
            <w:spacing w:line="144" w:lineRule="exact"/>
            <w:rPr>
              <w:rFonts w:ascii="Arial" w:hAnsi="Arial"/>
              <w:sz w:val="11"/>
            </w:rPr>
          </w:pPr>
        </w:p>
      </w:tc>
    </w:tr>
    <w:tr w:rsidR="000B5D58" w14:paraId="146FDBDA" w14:textId="77777777" w:rsidTr="00FF476B">
      <w:trPr>
        <w:cantSplit/>
        <w:trHeight w:hRule="exact" w:val="200"/>
      </w:trPr>
      <w:tc>
        <w:tcPr>
          <w:tcW w:w="1418" w:type="dxa"/>
          <w:vMerge/>
        </w:tcPr>
        <w:p w14:paraId="2F98CFFD" w14:textId="77777777" w:rsidR="000B5D58" w:rsidRDefault="000B5D58">
          <w:pPr>
            <w:pStyle w:val="Piedepgina"/>
            <w:rPr>
              <w:rFonts w:ascii="Arial" w:hAnsi="Arial"/>
              <w:sz w:val="14"/>
            </w:rPr>
          </w:pPr>
        </w:p>
      </w:tc>
    </w:tr>
    <w:tr w:rsidR="000B5D58" w14:paraId="3F6A8AE0" w14:textId="77777777" w:rsidTr="00FF476B">
      <w:trPr>
        <w:cantSplit/>
        <w:trHeight w:val="424"/>
      </w:trPr>
      <w:tc>
        <w:tcPr>
          <w:tcW w:w="1418" w:type="dxa"/>
          <w:vMerge/>
        </w:tcPr>
        <w:p w14:paraId="225203DA" w14:textId="77777777" w:rsidR="000B5D58" w:rsidRDefault="000B5D58">
          <w:pPr>
            <w:pStyle w:val="Piedepgina"/>
            <w:rPr>
              <w:rFonts w:ascii="Arial" w:hAnsi="Arial"/>
              <w:sz w:val="14"/>
            </w:rPr>
          </w:pPr>
        </w:p>
      </w:tc>
    </w:tr>
  </w:tbl>
  <w:p w14:paraId="755E948E" w14:textId="77777777" w:rsidR="000B5D58" w:rsidRDefault="000B5D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Ind w:w="-497" w:type="dxa"/>
      <w:tblLayout w:type="fixed"/>
      <w:tblCellMar>
        <w:left w:w="70" w:type="dxa"/>
        <w:right w:w="70" w:type="dxa"/>
      </w:tblCellMar>
      <w:tblLook w:val="0000" w:firstRow="0" w:lastRow="0" w:firstColumn="0" w:lastColumn="0" w:noHBand="0" w:noVBand="0"/>
    </w:tblPr>
    <w:tblGrid>
      <w:gridCol w:w="2694"/>
      <w:gridCol w:w="2432"/>
      <w:gridCol w:w="2432"/>
      <w:gridCol w:w="2103"/>
    </w:tblGrid>
    <w:tr w:rsidR="000B5D58" w14:paraId="3066B1BC" w14:textId="77777777" w:rsidTr="00647621">
      <w:trPr>
        <w:cantSplit/>
      </w:trPr>
      <w:tc>
        <w:tcPr>
          <w:tcW w:w="2694" w:type="dxa"/>
          <w:vAlign w:val="center"/>
        </w:tcPr>
        <w:p w14:paraId="407B16D0" w14:textId="77777777" w:rsidR="000B5D58" w:rsidRPr="0045035E" w:rsidRDefault="005A5F23">
          <w:pPr>
            <w:pStyle w:val="Piedepgina"/>
            <w:rPr>
              <w:rFonts w:ascii="Arial" w:hAnsi="Arial"/>
              <w:color w:val="000000" w:themeColor="text1"/>
              <w:sz w:val="14"/>
            </w:rPr>
          </w:pPr>
          <w:hyperlink r:id="rId1" w:history="1">
            <w:r w:rsidR="00AF1D9C" w:rsidRPr="00AF1D9C">
              <w:rPr>
                <w:rStyle w:val="Hipervnculo"/>
                <w:rFonts w:ascii="Gill Sans MT" w:hAnsi="Gill Sans MT" w:cs="Arial"/>
                <w:color w:val="000000" w:themeColor="text1"/>
                <w:sz w:val="14"/>
                <w:szCs w:val="14"/>
                <w:u w:val="none"/>
              </w:rPr>
              <w:t>www.comercio.gob.es</w:t>
            </w:r>
          </w:hyperlink>
        </w:p>
      </w:tc>
      <w:tc>
        <w:tcPr>
          <w:tcW w:w="2432" w:type="dxa"/>
        </w:tcPr>
        <w:p w14:paraId="4D26F5FD" w14:textId="77777777" w:rsidR="000B5D58" w:rsidRDefault="000B5D58">
          <w:pPr>
            <w:pStyle w:val="Piedepgina"/>
          </w:pPr>
        </w:p>
      </w:tc>
      <w:tc>
        <w:tcPr>
          <w:tcW w:w="2432" w:type="dxa"/>
          <w:tcBorders>
            <w:right w:val="single" w:sz="4" w:space="0" w:color="auto"/>
          </w:tcBorders>
        </w:tcPr>
        <w:p w14:paraId="6AB7CF3D" w14:textId="77777777" w:rsidR="000B5D58" w:rsidRDefault="000B5D58">
          <w:pPr>
            <w:pStyle w:val="Piedepgina"/>
          </w:pPr>
        </w:p>
      </w:tc>
      <w:tc>
        <w:tcPr>
          <w:tcW w:w="2103" w:type="dxa"/>
          <w:vMerge w:val="restart"/>
          <w:tcBorders>
            <w:left w:val="single" w:sz="4" w:space="0" w:color="auto"/>
          </w:tcBorders>
        </w:tcPr>
        <w:p w14:paraId="28963951" w14:textId="77777777" w:rsidR="000B5D58" w:rsidRPr="00AF1D9C" w:rsidRDefault="000B5D58">
          <w:pPr>
            <w:pStyle w:val="Piedepgina"/>
            <w:spacing w:line="144" w:lineRule="exact"/>
            <w:rPr>
              <w:rFonts w:ascii="Gill Sans MT" w:hAnsi="Gill Sans MT"/>
              <w:sz w:val="14"/>
            </w:rPr>
          </w:pPr>
          <w:r w:rsidRPr="00AF1D9C">
            <w:rPr>
              <w:rFonts w:ascii="Gill Sans MT" w:hAnsi="Gill Sans MT"/>
              <w:sz w:val="14"/>
            </w:rPr>
            <w:t>Pº. DE LA CASTELLANA, 162</w:t>
          </w:r>
        </w:p>
        <w:p w14:paraId="2621B052" w14:textId="77777777" w:rsidR="000B5D58" w:rsidRPr="00AF1D9C" w:rsidRDefault="000B5D58">
          <w:pPr>
            <w:pStyle w:val="Piedepgina"/>
            <w:spacing w:line="144" w:lineRule="exact"/>
            <w:rPr>
              <w:rFonts w:ascii="Gill Sans MT" w:hAnsi="Gill Sans MT"/>
              <w:sz w:val="14"/>
            </w:rPr>
          </w:pPr>
          <w:proofErr w:type="gramStart"/>
          <w:r w:rsidRPr="00AF1D9C">
            <w:rPr>
              <w:rFonts w:ascii="Gill Sans MT" w:hAnsi="Gill Sans MT"/>
              <w:sz w:val="14"/>
            </w:rPr>
            <w:t>28046  MADRID</w:t>
          </w:r>
          <w:proofErr w:type="gramEnd"/>
        </w:p>
        <w:p w14:paraId="7575EFBC" w14:textId="77777777" w:rsidR="000B5D58" w:rsidRPr="00AF1D9C" w:rsidRDefault="000B5D58">
          <w:pPr>
            <w:pStyle w:val="Piedepgina"/>
            <w:spacing w:line="144" w:lineRule="exact"/>
            <w:rPr>
              <w:rFonts w:ascii="Gill Sans MT" w:hAnsi="Gill Sans MT"/>
              <w:sz w:val="14"/>
            </w:rPr>
          </w:pPr>
          <w:r w:rsidRPr="00AF1D9C">
            <w:rPr>
              <w:rFonts w:ascii="Gill Sans MT" w:hAnsi="Gill Sans MT"/>
              <w:sz w:val="14"/>
            </w:rPr>
            <w:t>TEL.: 91 349</w:t>
          </w:r>
          <w:r w:rsidR="00551EFE">
            <w:rPr>
              <w:rFonts w:ascii="Gill Sans MT" w:hAnsi="Gill Sans MT"/>
              <w:sz w:val="14"/>
            </w:rPr>
            <w:t>6025</w:t>
          </w:r>
        </w:p>
        <w:p w14:paraId="487AF71B" w14:textId="77777777" w:rsidR="000B5D58" w:rsidRDefault="000B5D58" w:rsidP="00B6345A">
          <w:pPr>
            <w:pStyle w:val="Piedepgina"/>
            <w:spacing w:line="144" w:lineRule="exact"/>
            <w:rPr>
              <w:rFonts w:ascii="Arial" w:hAnsi="Arial"/>
              <w:sz w:val="14"/>
            </w:rPr>
          </w:pPr>
        </w:p>
      </w:tc>
    </w:tr>
    <w:tr w:rsidR="000B5D58" w:rsidRPr="00551EFE" w14:paraId="4A89771D" w14:textId="77777777" w:rsidTr="00647621">
      <w:trPr>
        <w:cantSplit/>
        <w:trHeight w:hRule="exact" w:val="200"/>
      </w:trPr>
      <w:tc>
        <w:tcPr>
          <w:tcW w:w="2694" w:type="dxa"/>
          <w:vAlign w:val="center"/>
        </w:tcPr>
        <w:p w14:paraId="6EBD347D" w14:textId="77777777" w:rsidR="00EE1F28" w:rsidRPr="00551EFE" w:rsidRDefault="005A5F23" w:rsidP="00590415">
          <w:pPr>
            <w:pStyle w:val="Piedepgina"/>
            <w:spacing w:line="160" w:lineRule="atLeast"/>
            <w:rPr>
              <w:rStyle w:val="Hipervnculo"/>
              <w:color w:val="000000" w:themeColor="text1"/>
              <w:u w:val="none"/>
            </w:rPr>
          </w:pPr>
          <w:hyperlink r:id="rId2" w:history="1">
            <w:r w:rsidR="00551EFE" w:rsidRPr="00551EFE">
              <w:rPr>
                <w:rStyle w:val="Hipervnculo"/>
                <w:rFonts w:ascii="Gill Sans MT" w:hAnsi="Gill Sans MT" w:cs="Arial"/>
                <w:color w:val="000000" w:themeColor="text1"/>
                <w:sz w:val="14"/>
                <w:szCs w:val="14"/>
                <w:u w:val="none"/>
              </w:rPr>
              <w:t>dgcii@mincotur.es</w:t>
            </w:r>
          </w:hyperlink>
        </w:p>
      </w:tc>
      <w:tc>
        <w:tcPr>
          <w:tcW w:w="2432" w:type="dxa"/>
        </w:tcPr>
        <w:p w14:paraId="6B938C47" w14:textId="77777777" w:rsidR="000B5D58" w:rsidRPr="00551EFE" w:rsidRDefault="000B5D58">
          <w:pPr>
            <w:pStyle w:val="Piedepgina"/>
            <w:rPr>
              <w:rStyle w:val="Hipervnculo"/>
              <w:rFonts w:ascii="Gill Sans MT" w:hAnsi="Gill Sans MT" w:cs="Arial"/>
              <w:color w:val="000000" w:themeColor="text1"/>
              <w:sz w:val="14"/>
              <w:szCs w:val="14"/>
              <w:u w:val="none"/>
            </w:rPr>
          </w:pPr>
        </w:p>
      </w:tc>
      <w:tc>
        <w:tcPr>
          <w:tcW w:w="2432" w:type="dxa"/>
          <w:tcBorders>
            <w:right w:val="single" w:sz="4" w:space="0" w:color="auto"/>
          </w:tcBorders>
        </w:tcPr>
        <w:p w14:paraId="16797D27" w14:textId="77777777" w:rsidR="000B5D58" w:rsidRPr="00551EFE" w:rsidRDefault="000B5D58">
          <w:pPr>
            <w:pStyle w:val="Piedepgina"/>
            <w:rPr>
              <w:rStyle w:val="Hipervnculo"/>
              <w:rFonts w:ascii="Gill Sans MT" w:hAnsi="Gill Sans MT" w:cs="Arial"/>
              <w:color w:val="000000" w:themeColor="text1"/>
              <w:sz w:val="14"/>
              <w:szCs w:val="14"/>
              <w:u w:val="none"/>
            </w:rPr>
          </w:pPr>
        </w:p>
      </w:tc>
      <w:tc>
        <w:tcPr>
          <w:tcW w:w="2103" w:type="dxa"/>
          <w:vMerge/>
          <w:tcBorders>
            <w:left w:val="single" w:sz="4" w:space="0" w:color="auto"/>
          </w:tcBorders>
        </w:tcPr>
        <w:p w14:paraId="4DC2F04C" w14:textId="77777777" w:rsidR="000B5D58" w:rsidRPr="00551EFE" w:rsidRDefault="000B5D58">
          <w:pPr>
            <w:pStyle w:val="Piedepgina"/>
            <w:rPr>
              <w:rStyle w:val="Hipervnculo"/>
              <w:rFonts w:ascii="Gill Sans MT" w:hAnsi="Gill Sans MT" w:cs="Arial"/>
              <w:color w:val="000000" w:themeColor="text1"/>
              <w:szCs w:val="14"/>
              <w:u w:val="none"/>
            </w:rPr>
          </w:pPr>
        </w:p>
      </w:tc>
    </w:tr>
  </w:tbl>
  <w:p w14:paraId="16AB75C5" w14:textId="77777777" w:rsidR="000B5D58" w:rsidRDefault="000B5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727C" w14:textId="77777777" w:rsidR="00601F28" w:rsidRDefault="00601F28">
      <w:r>
        <w:separator/>
      </w:r>
    </w:p>
  </w:footnote>
  <w:footnote w:type="continuationSeparator" w:id="0">
    <w:p w14:paraId="14A05FBA" w14:textId="77777777" w:rsidR="00601F28" w:rsidRDefault="0060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9160" w14:textId="77777777" w:rsidR="000B5D58" w:rsidRDefault="0002678D">
    <w:pPr>
      <w:pStyle w:val="Encabezado"/>
    </w:pPr>
    <w:r>
      <w:rPr>
        <w:noProof/>
        <w:lang w:val="es-ES"/>
      </w:rPr>
      <w:drawing>
        <wp:anchor distT="0" distB="0" distL="114300" distR="114300" simplePos="0" relativeHeight="251657728" behindDoc="0" locked="0" layoutInCell="0" allowOverlap="1" wp14:anchorId="4C7C752F" wp14:editId="5DA87366">
          <wp:simplePos x="0" y="0"/>
          <wp:positionH relativeFrom="column">
            <wp:posOffset>5669280</wp:posOffset>
          </wp:positionH>
          <wp:positionV relativeFrom="paragraph">
            <wp:posOffset>-266065</wp:posOffset>
          </wp:positionV>
          <wp:extent cx="521970" cy="5492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49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7" w:type="dxa"/>
      <w:tblLayout w:type="fixed"/>
      <w:tblCellMar>
        <w:left w:w="70" w:type="dxa"/>
        <w:right w:w="70" w:type="dxa"/>
      </w:tblCellMar>
      <w:tblLook w:val="0000" w:firstRow="0" w:lastRow="0" w:firstColumn="0" w:lastColumn="0" w:noHBand="0" w:noVBand="0"/>
    </w:tblPr>
    <w:tblGrid>
      <w:gridCol w:w="1204"/>
      <w:gridCol w:w="6593"/>
      <w:gridCol w:w="2126"/>
    </w:tblGrid>
    <w:tr w:rsidR="000B5D58" w:rsidRPr="00C32AB7" w14:paraId="6F31AD0B" w14:textId="77777777" w:rsidTr="00AF1D9C">
      <w:trPr>
        <w:cantSplit/>
        <w:trHeight w:val="709"/>
      </w:trPr>
      <w:tc>
        <w:tcPr>
          <w:tcW w:w="1204" w:type="dxa"/>
          <w:vMerge w:val="restart"/>
        </w:tcPr>
        <w:p w14:paraId="71509157" w14:textId="77777777" w:rsidR="000B5D58" w:rsidRPr="00C32AB7" w:rsidRDefault="000B5D58">
          <w:pPr>
            <w:pStyle w:val="Encabezado"/>
            <w:rPr>
              <w:rFonts w:ascii="Arial" w:hAnsi="Arial" w:cs="Arial"/>
            </w:rPr>
          </w:pPr>
          <w:r w:rsidRPr="00C32AB7">
            <w:rPr>
              <w:rFonts w:ascii="Arial" w:hAnsi="Arial" w:cs="Arial"/>
              <w:b/>
              <w:noProof/>
            </w:rPr>
            <w:object w:dxaOrig="1050" w:dyaOrig="1110" w14:anchorId="225FF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5.5pt" fillcolor="window">
                <v:imagedata r:id="rId1" o:title=""/>
              </v:shape>
              <o:OLEObject Type="Embed" ProgID="Word.Picture.8" ShapeID="_x0000_i1025" DrawAspect="Content" ObjectID="_1716791750" r:id="rId2"/>
            </w:object>
          </w:r>
        </w:p>
      </w:tc>
      <w:tc>
        <w:tcPr>
          <w:tcW w:w="6593" w:type="dxa"/>
          <w:vMerge w:val="restart"/>
          <w:tcBorders>
            <w:right w:val="single" w:sz="4" w:space="0" w:color="auto"/>
          </w:tcBorders>
        </w:tcPr>
        <w:p w14:paraId="3AE4A98C" w14:textId="77777777" w:rsidR="000B5D58" w:rsidRPr="00C32AB7" w:rsidRDefault="000B5D58">
          <w:pPr>
            <w:pStyle w:val="Encabezado"/>
            <w:rPr>
              <w:rFonts w:ascii="Arial" w:hAnsi="Arial" w:cs="Arial"/>
              <w:sz w:val="16"/>
            </w:rPr>
          </w:pPr>
          <w:r w:rsidRPr="00C32AB7">
            <w:rPr>
              <w:rFonts w:ascii="Arial" w:hAnsi="Arial" w:cs="Arial"/>
              <w:sz w:val="16"/>
            </w:rPr>
            <w:t xml:space="preserve"> </w:t>
          </w:r>
        </w:p>
        <w:p w14:paraId="71492BE9" w14:textId="77777777" w:rsidR="000B5D58" w:rsidRPr="00C32AB7" w:rsidRDefault="000B5D58">
          <w:pPr>
            <w:pStyle w:val="Encabezado"/>
            <w:rPr>
              <w:rFonts w:ascii="Arial" w:hAnsi="Arial" w:cs="Arial"/>
              <w:sz w:val="16"/>
            </w:rPr>
          </w:pPr>
        </w:p>
        <w:p w14:paraId="1F26717F" w14:textId="77777777" w:rsidR="007D6766" w:rsidRPr="00704704" w:rsidRDefault="00AB5C27" w:rsidP="00CE4468">
          <w:pPr>
            <w:pStyle w:val="Encabezado"/>
            <w:rPr>
              <w:rFonts w:ascii="Gill Sans MT" w:hAnsi="Gill Sans MT" w:cs="Arial"/>
              <w:sz w:val="18"/>
              <w:szCs w:val="18"/>
            </w:rPr>
          </w:pPr>
          <w:r w:rsidRPr="00704704">
            <w:rPr>
              <w:rFonts w:ascii="Gill Sans MT" w:hAnsi="Gill Sans MT" w:cs="Arial"/>
              <w:sz w:val="18"/>
              <w:szCs w:val="18"/>
            </w:rPr>
            <w:t>MINISTERIO</w:t>
          </w:r>
        </w:p>
        <w:p w14:paraId="20DCE5B0" w14:textId="77777777" w:rsidR="00CE4468" w:rsidRPr="00704704" w:rsidRDefault="00AB5C27" w:rsidP="00CE4468">
          <w:pPr>
            <w:pStyle w:val="Encabezado"/>
            <w:rPr>
              <w:rFonts w:ascii="Gill Sans MT" w:hAnsi="Gill Sans MT" w:cs="Arial"/>
              <w:sz w:val="18"/>
              <w:szCs w:val="18"/>
            </w:rPr>
          </w:pPr>
          <w:r w:rsidRPr="00704704">
            <w:rPr>
              <w:rFonts w:ascii="Gill Sans MT" w:hAnsi="Gill Sans MT" w:cs="Arial"/>
              <w:sz w:val="18"/>
              <w:szCs w:val="18"/>
            </w:rPr>
            <w:t>DE</w:t>
          </w:r>
          <w:r w:rsidR="00CE4468" w:rsidRPr="00704704">
            <w:rPr>
              <w:rFonts w:ascii="Gill Sans MT" w:hAnsi="Gill Sans MT" w:cs="Arial"/>
              <w:sz w:val="18"/>
              <w:szCs w:val="18"/>
            </w:rPr>
            <w:t xml:space="preserve"> </w:t>
          </w:r>
          <w:r w:rsidR="00292564" w:rsidRPr="00704704">
            <w:rPr>
              <w:rFonts w:ascii="Gill Sans MT" w:hAnsi="Gill Sans MT" w:cs="Arial"/>
              <w:sz w:val="18"/>
              <w:szCs w:val="18"/>
            </w:rPr>
            <w:t>INDUSTRIA</w:t>
          </w:r>
          <w:r w:rsidR="00312192" w:rsidRPr="00704704">
            <w:rPr>
              <w:rFonts w:ascii="Gill Sans MT" w:hAnsi="Gill Sans MT" w:cs="Arial"/>
              <w:sz w:val="18"/>
              <w:szCs w:val="18"/>
            </w:rPr>
            <w:t>, COMERCIO</w:t>
          </w:r>
        </w:p>
        <w:p w14:paraId="55644E87" w14:textId="77777777" w:rsidR="000B5D58" w:rsidRPr="00C32AB7" w:rsidRDefault="00CE4468" w:rsidP="00312192">
          <w:pPr>
            <w:pStyle w:val="Encabezado"/>
            <w:rPr>
              <w:rFonts w:ascii="Arial" w:hAnsi="Arial" w:cs="Arial"/>
              <w:sz w:val="16"/>
            </w:rPr>
          </w:pPr>
          <w:r w:rsidRPr="00704704">
            <w:rPr>
              <w:rFonts w:ascii="Gill Sans MT" w:hAnsi="Gill Sans MT" w:cs="Arial"/>
              <w:sz w:val="18"/>
              <w:szCs w:val="18"/>
            </w:rPr>
            <w:t xml:space="preserve">Y </w:t>
          </w:r>
          <w:r w:rsidR="00312192" w:rsidRPr="00704704">
            <w:rPr>
              <w:rFonts w:ascii="Gill Sans MT" w:hAnsi="Gill Sans MT" w:cs="Arial"/>
              <w:sz w:val="18"/>
              <w:szCs w:val="18"/>
            </w:rPr>
            <w:t>TURISMO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576BA" w14:textId="77777777" w:rsidR="00AB5C27" w:rsidRPr="00AF1D9C" w:rsidRDefault="00AB5C27" w:rsidP="00647621">
          <w:pPr>
            <w:spacing w:line="160" w:lineRule="atLeast"/>
            <w:rPr>
              <w:rFonts w:ascii="Gill Sans MT" w:hAnsi="Gill Sans MT" w:cs="Arial"/>
              <w:sz w:val="14"/>
            </w:rPr>
          </w:pPr>
          <w:r w:rsidRPr="00AF1D9C">
            <w:rPr>
              <w:rFonts w:ascii="Gill Sans MT" w:hAnsi="Gill Sans MT" w:cs="Arial"/>
              <w:sz w:val="14"/>
            </w:rPr>
            <w:t xml:space="preserve">SECRETARÍA </w:t>
          </w:r>
          <w:r w:rsidR="00CE4468" w:rsidRPr="00AF1D9C">
            <w:rPr>
              <w:rFonts w:ascii="Gill Sans MT" w:hAnsi="Gill Sans MT" w:cs="Arial"/>
              <w:sz w:val="14"/>
            </w:rPr>
            <w:t xml:space="preserve">DE ESTADO </w:t>
          </w:r>
          <w:r w:rsidR="00C32AB7" w:rsidRPr="00AF1D9C">
            <w:rPr>
              <w:rFonts w:ascii="Gill Sans MT" w:hAnsi="Gill Sans MT" w:cs="Arial"/>
              <w:sz w:val="14"/>
            </w:rPr>
            <w:t>DE</w:t>
          </w:r>
        </w:p>
        <w:p w14:paraId="2C485D57" w14:textId="77777777" w:rsidR="000B5D58" w:rsidRPr="00AF1D9C" w:rsidRDefault="00C32AB7" w:rsidP="00647621">
          <w:pPr>
            <w:pStyle w:val="Encabezado"/>
            <w:spacing w:line="160" w:lineRule="atLeast"/>
            <w:rPr>
              <w:rFonts w:ascii="Gill Sans MT" w:hAnsi="Gill Sans MT" w:cs="Arial"/>
              <w:sz w:val="14"/>
            </w:rPr>
          </w:pPr>
          <w:r w:rsidRPr="00AF1D9C">
            <w:rPr>
              <w:rFonts w:ascii="Gill Sans MT" w:hAnsi="Gill Sans MT" w:cs="Arial"/>
              <w:sz w:val="14"/>
            </w:rPr>
            <w:t xml:space="preserve">COMERCIO </w:t>
          </w:r>
        </w:p>
      </w:tc>
    </w:tr>
    <w:tr w:rsidR="000B5D58" w:rsidRPr="00C32AB7" w14:paraId="3A430A34" w14:textId="77777777" w:rsidTr="00AF1D9C">
      <w:trPr>
        <w:cantSplit/>
        <w:trHeight w:val="561"/>
      </w:trPr>
      <w:tc>
        <w:tcPr>
          <w:tcW w:w="1204" w:type="dxa"/>
          <w:vMerge/>
        </w:tcPr>
        <w:p w14:paraId="5FC8620D" w14:textId="77777777" w:rsidR="000B5D58" w:rsidRPr="00C32AB7" w:rsidRDefault="000B5D58">
          <w:pPr>
            <w:pStyle w:val="Encabezado"/>
            <w:rPr>
              <w:rFonts w:ascii="Arial" w:hAnsi="Arial" w:cs="Arial"/>
              <w:b/>
              <w:noProof/>
            </w:rPr>
          </w:pPr>
        </w:p>
      </w:tc>
      <w:tc>
        <w:tcPr>
          <w:tcW w:w="6593" w:type="dxa"/>
          <w:vMerge/>
        </w:tcPr>
        <w:p w14:paraId="25666BA9" w14:textId="77777777" w:rsidR="000B5D58" w:rsidRPr="00C32AB7" w:rsidRDefault="000B5D58">
          <w:pPr>
            <w:pStyle w:val="Encabezado"/>
            <w:rPr>
              <w:rFonts w:ascii="Arial" w:hAnsi="Arial" w:cs="Arial"/>
              <w:sz w:val="16"/>
            </w:rPr>
          </w:pPr>
        </w:p>
      </w:tc>
      <w:tc>
        <w:tcPr>
          <w:tcW w:w="2126" w:type="dxa"/>
          <w:tcBorders>
            <w:top w:val="single" w:sz="4" w:space="0" w:color="auto"/>
          </w:tcBorders>
        </w:tcPr>
        <w:p w14:paraId="653CEB30" w14:textId="77777777" w:rsidR="000B5D58" w:rsidRPr="00AF1D9C" w:rsidRDefault="000B5D58">
          <w:pPr>
            <w:pStyle w:val="Encabezado"/>
            <w:spacing w:line="160" w:lineRule="exact"/>
            <w:rPr>
              <w:rFonts w:ascii="Gill Sans MT" w:hAnsi="Gill Sans MT" w:cs="Arial"/>
              <w:sz w:val="14"/>
            </w:rPr>
          </w:pPr>
        </w:p>
        <w:p w14:paraId="6D178480" w14:textId="77777777" w:rsidR="00DA614A" w:rsidRPr="00240A21" w:rsidRDefault="0094339D" w:rsidP="00627EC6">
          <w:pPr>
            <w:pStyle w:val="Encabezado"/>
            <w:spacing w:line="160" w:lineRule="exact"/>
            <w:rPr>
              <w:rFonts w:ascii="Gill Sans MT" w:hAnsi="Gill Sans MT" w:cs="Arial"/>
              <w:sz w:val="14"/>
              <w:szCs w:val="14"/>
            </w:rPr>
          </w:pPr>
          <w:r w:rsidRPr="00AF1D9C">
            <w:rPr>
              <w:rFonts w:ascii="Gill Sans MT" w:hAnsi="Gill Sans MT" w:cs="Arial"/>
              <w:sz w:val="14"/>
              <w:szCs w:val="14"/>
            </w:rPr>
            <w:t xml:space="preserve"> </w:t>
          </w:r>
        </w:p>
      </w:tc>
    </w:tr>
  </w:tbl>
  <w:p w14:paraId="38EB2F5A" w14:textId="77777777" w:rsidR="000B5D58" w:rsidRPr="00AF1D9C" w:rsidRDefault="000B5D58">
    <w:pPr>
      <w:pStyle w:val="Encabezado"/>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3B7"/>
    <w:multiLevelType w:val="hybridMultilevel"/>
    <w:tmpl w:val="71F2D8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59561C"/>
    <w:multiLevelType w:val="hybridMultilevel"/>
    <w:tmpl w:val="5A24B1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D46307"/>
    <w:multiLevelType w:val="hybridMultilevel"/>
    <w:tmpl w:val="95D0D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BF062E"/>
    <w:multiLevelType w:val="hybridMultilevel"/>
    <w:tmpl w:val="80768F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545C33"/>
    <w:multiLevelType w:val="hybridMultilevel"/>
    <w:tmpl w:val="902C8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1A37E0"/>
    <w:multiLevelType w:val="hybridMultilevel"/>
    <w:tmpl w:val="061A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414B3"/>
    <w:multiLevelType w:val="hybridMultilevel"/>
    <w:tmpl w:val="1E6C9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8A1A44"/>
    <w:multiLevelType w:val="hybridMultilevel"/>
    <w:tmpl w:val="BD10C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F07BC5"/>
    <w:multiLevelType w:val="hybridMultilevel"/>
    <w:tmpl w:val="F0E89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9B155A"/>
    <w:multiLevelType w:val="hybridMultilevel"/>
    <w:tmpl w:val="BA340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E422BE"/>
    <w:multiLevelType w:val="hybridMultilevel"/>
    <w:tmpl w:val="F014F6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09A33A2"/>
    <w:multiLevelType w:val="hybridMultilevel"/>
    <w:tmpl w:val="071E4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535A90"/>
    <w:multiLevelType w:val="hybridMultilevel"/>
    <w:tmpl w:val="09E04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F967B8B"/>
    <w:multiLevelType w:val="hybridMultilevel"/>
    <w:tmpl w:val="FD3A2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F11B7E"/>
    <w:multiLevelType w:val="hybridMultilevel"/>
    <w:tmpl w:val="1CF070F6"/>
    <w:lvl w:ilvl="0" w:tplc="DBBC589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3993655">
    <w:abstractNumId w:val="7"/>
  </w:num>
  <w:num w:numId="2" w16cid:durableId="950208640">
    <w:abstractNumId w:val="11"/>
  </w:num>
  <w:num w:numId="3" w16cid:durableId="1971785627">
    <w:abstractNumId w:val="3"/>
  </w:num>
  <w:num w:numId="4" w16cid:durableId="357051458">
    <w:abstractNumId w:val="0"/>
  </w:num>
  <w:num w:numId="5" w16cid:durableId="840435903">
    <w:abstractNumId w:val="1"/>
  </w:num>
  <w:num w:numId="6" w16cid:durableId="1790274484">
    <w:abstractNumId w:val="9"/>
  </w:num>
  <w:num w:numId="7" w16cid:durableId="155533706">
    <w:abstractNumId w:val="8"/>
  </w:num>
  <w:num w:numId="8" w16cid:durableId="894320511">
    <w:abstractNumId w:val="5"/>
  </w:num>
  <w:num w:numId="9" w16cid:durableId="1438210161">
    <w:abstractNumId w:val="10"/>
  </w:num>
  <w:num w:numId="10" w16cid:durableId="1117212619">
    <w:abstractNumId w:val="14"/>
  </w:num>
  <w:num w:numId="11" w16cid:durableId="1428961303">
    <w:abstractNumId w:val="4"/>
  </w:num>
  <w:num w:numId="12" w16cid:durableId="569850520">
    <w:abstractNumId w:val="6"/>
  </w:num>
  <w:num w:numId="13" w16cid:durableId="1596211802">
    <w:abstractNumId w:val="2"/>
  </w:num>
  <w:num w:numId="14" w16cid:durableId="1812864196">
    <w:abstractNumId w:val="12"/>
  </w:num>
  <w:num w:numId="15" w16cid:durableId="859855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68"/>
    <w:rsid w:val="00001855"/>
    <w:rsid w:val="00011D6C"/>
    <w:rsid w:val="0002362C"/>
    <w:rsid w:val="0002678D"/>
    <w:rsid w:val="000B1157"/>
    <w:rsid w:val="000B5D58"/>
    <w:rsid w:val="000C578C"/>
    <w:rsid w:val="000E4B23"/>
    <w:rsid w:val="001041A8"/>
    <w:rsid w:val="001236B4"/>
    <w:rsid w:val="001667ED"/>
    <w:rsid w:val="001A2833"/>
    <w:rsid w:val="001C1E94"/>
    <w:rsid w:val="001F20DD"/>
    <w:rsid w:val="00224E89"/>
    <w:rsid w:val="00237D13"/>
    <w:rsid w:val="00240A21"/>
    <w:rsid w:val="0024791D"/>
    <w:rsid w:val="00292564"/>
    <w:rsid w:val="002A667A"/>
    <w:rsid w:val="002D65F3"/>
    <w:rsid w:val="002D7FA5"/>
    <w:rsid w:val="002E6503"/>
    <w:rsid w:val="00312192"/>
    <w:rsid w:val="00345BF2"/>
    <w:rsid w:val="0038035C"/>
    <w:rsid w:val="003B2859"/>
    <w:rsid w:val="003C6A2E"/>
    <w:rsid w:val="00411A4A"/>
    <w:rsid w:val="0045035E"/>
    <w:rsid w:val="0046184C"/>
    <w:rsid w:val="00472D9F"/>
    <w:rsid w:val="004F040B"/>
    <w:rsid w:val="00502D12"/>
    <w:rsid w:val="005243A2"/>
    <w:rsid w:val="00551EFE"/>
    <w:rsid w:val="00574F91"/>
    <w:rsid w:val="00590415"/>
    <w:rsid w:val="005A5F23"/>
    <w:rsid w:val="00601F28"/>
    <w:rsid w:val="0062256B"/>
    <w:rsid w:val="00627EC6"/>
    <w:rsid w:val="00647621"/>
    <w:rsid w:val="006710B4"/>
    <w:rsid w:val="00683C43"/>
    <w:rsid w:val="006B70E3"/>
    <w:rsid w:val="006C2DDC"/>
    <w:rsid w:val="00704704"/>
    <w:rsid w:val="007251A2"/>
    <w:rsid w:val="00764E04"/>
    <w:rsid w:val="007C47A5"/>
    <w:rsid w:val="007D6766"/>
    <w:rsid w:val="008229A5"/>
    <w:rsid w:val="00824536"/>
    <w:rsid w:val="0088133C"/>
    <w:rsid w:val="008F413C"/>
    <w:rsid w:val="00925D25"/>
    <w:rsid w:val="00932159"/>
    <w:rsid w:val="0094339D"/>
    <w:rsid w:val="00954867"/>
    <w:rsid w:val="0096151C"/>
    <w:rsid w:val="009622AF"/>
    <w:rsid w:val="009B5C3D"/>
    <w:rsid w:val="009C5002"/>
    <w:rsid w:val="009E0FC5"/>
    <w:rsid w:val="00A33DD1"/>
    <w:rsid w:val="00AB4547"/>
    <w:rsid w:val="00AB5C27"/>
    <w:rsid w:val="00AD2B27"/>
    <w:rsid w:val="00AF1D9C"/>
    <w:rsid w:val="00B5373C"/>
    <w:rsid w:val="00B6345A"/>
    <w:rsid w:val="00B91D6F"/>
    <w:rsid w:val="00BA2556"/>
    <w:rsid w:val="00BB5164"/>
    <w:rsid w:val="00BF283D"/>
    <w:rsid w:val="00C02E71"/>
    <w:rsid w:val="00C154A6"/>
    <w:rsid w:val="00C317FF"/>
    <w:rsid w:val="00C32AB7"/>
    <w:rsid w:val="00C34AD1"/>
    <w:rsid w:val="00CE4468"/>
    <w:rsid w:val="00D345BF"/>
    <w:rsid w:val="00D66873"/>
    <w:rsid w:val="00DA614A"/>
    <w:rsid w:val="00DE1F9E"/>
    <w:rsid w:val="00E377A0"/>
    <w:rsid w:val="00E90073"/>
    <w:rsid w:val="00E9194D"/>
    <w:rsid w:val="00E92A23"/>
    <w:rsid w:val="00ED5CEB"/>
    <w:rsid w:val="00EE1F28"/>
    <w:rsid w:val="00EE7BDA"/>
    <w:rsid w:val="00EF7798"/>
    <w:rsid w:val="00F40AC0"/>
    <w:rsid w:val="00FF4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39C6DAC"/>
  <w15:docId w15:val="{E3658EDA-4EF7-4A90-BF2B-DE94722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AB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E1F28"/>
    <w:rPr>
      <w:color w:val="0000FF" w:themeColor="hyperlink"/>
      <w:u w:val="single"/>
    </w:rPr>
  </w:style>
  <w:style w:type="paragraph" w:styleId="Textonotapie">
    <w:name w:val="footnote text"/>
    <w:basedOn w:val="Normal"/>
    <w:link w:val="TextonotapieCar"/>
    <w:semiHidden/>
    <w:unhideWhenUsed/>
    <w:rsid w:val="006710B4"/>
    <w:rPr>
      <w:lang w:val="es-ES"/>
    </w:rPr>
  </w:style>
  <w:style w:type="character" w:customStyle="1" w:styleId="TextonotapieCar">
    <w:name w:val="Texto nota pie Car"/>
    <w:basedOn w:val="Fuentedeprrafopredeter"/>
    <w:link w:val="Textonotapie"/>
    <w:semiHidden/>
    <w:rsid w:val="006710B4"/>
  </w:style>
  <w:style w:type="character" w:styleId="Refdenotaalpie">
    <w:name w:val="footnote reference"/>
    <w:basedOn w:val="Fuentedeprrafopredeter"/>
    <w:semiHidden/>
    <w:unhideWhenUsed/>
    <w:rsid w:val="006710B4"/>
    <w:rPr>
      <w:vertAlign w:val="superscript"/>
    </w:rPr>
  </w:style>
  <w:style w:type="paragraph" w:styleId="Prrafodelista">
    <w:name w:val="List Paragraph"/>
    <w:basedOn w:val="Normal"/>
    <w:uiPriority w:val="34"/>
    <w:qFormat/>
    <w:rsid w:val="006710B4"/>
    <w:pPr>
      <w:ind w:left="720"/>
      <w:contextualSpacing/>
    </w:pPr>
    <w:rPr>
      <w:sz w:val="24"/>
      <w:szCs w:val="24"/>
      <w:lang w:val="es-ES"/>
    </w:rPr>
  </w:style>
  <w:style w:type="paragraph" w:styleId="Textodeglobo">
    <w:name w:val="Balloon Text"/>
    <w:basedOn w:val="Normal"/>
    <w:link w:val="TextodegloboCar"/>
    <w:semiHidden/>
    <w:unhideWhenUsed/>
    <w:rsid w:val="006C2DDC"/>
    <w:rPr>
      <w:rFonts w:ascii="Segoe UI" w:hAnsi="Segoe UI" w:cs="Segoe UI"/>
      <w:sz w:val="18"/>
      <w:szCs w:val="18"/>
    </w:rPr>
  </w:style>
  <w:style w:type="character" w:customStyle="1" w:styleId="TextodegloboCar">
    <w:name w:val="Texto de globo Car"/>
    <w:basedOn w:val="Fuentedeprrafopredeter"/>
    <w:link w:val="Textodeglobo"/>
    <w:semiHidden/>
    <w:rsid w:val="006C2DDC"/>
    <w:rPr>
      <w:rFonts w:ascii="Segoe UI" w:hAnsi="Segoe UI" w:cs="Segoe UI"/>
      <w:sz w:val="18"/>
      <w:szCs w:val="18"/>
      <w:lang w:val="es-ES_tradnl"/>
    </w:rPr>
  </w:style>
  <w:style w:type="character" w:styleId="Refdecomentario">
    <w:name w:val="annotation reference"/>
    <w:basedOn w:val="Fuentedeprrafopredeter"/>
    <w:semiHidden/>
    <w:unhideWhenUsed/>
    <w:rsid w:val="00011D6C"/>
    <w:rPr>
      <w:sz w:val="16"/>
      <w:szCs w:val="16"/>
    </w:rPr>
  </w:style>
  <w:style w:type="paragraph" w:styleId="Textocomentario">
    <w:name w:val="annotation text"/>
    <w:basedOn w:val="Normal"/>
    <w:link w:val="TextocomentarioCar"/>
    <w:semiHidden/>
    <w:unhideWhenUsed/>
    <w:rsid w:val="00011D6C"/>
  </w:style>
  <w:style w:type="character" w:customStyle="1" w:styleId="TextocomentarioCar">
    <w:name w:val="Texto comentario Car"/>
    <w:basedOn w:val="Fuentedeprrafopredeter"/>
    <w:link w:val="Textocomentario"/>
    <w:semiHidden/>
    <w:rsid w:val="00011D6C"/>
    <w:rPr>
      <w:lang w:val="es-ES_tradnl"/>
    </w:rPr>
  </w:style>
  <w:style w:type="paragraph" w:styleId="Asuntodelcomentario">
    <w:name w:val="annotation subject"/>
    <w:basedOn w:val="Textocomentario"/>
    <w:next w:val="Textocomentario"/>
    <w:link w:val="AsuntodelcomentarioCar"/>
    <w:semiHidden/>
    <w:unhideWhenUsed/>
    <w:rsid w:val="00011D6C"/>
    <w:rPr>
      <w:b/>
      <w:bCs/>
    </w:rPr>
  </w:style>
  <w:style w:type="character" w:customStyle="1" w:styleId="AsuntodelcomentarioCar">
    <w:name w:val="Asunto del comentario Car"/>
    <w:basedOn w:val="TextocomentarioCar"/>
    <w:link w:val="Asuntodelcomentario"/>
    <w:semiHidden/>
    <w:rsid w:val="00011D6C"/>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03-2061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oe.es/diario_boe/txt.php?id=BOE-A-2003-2061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gel@comercio.mineco.es" TargetMode="External"/><Relationship Id="rId4" Type="http://schemas.openxmlformats.org/officeDocument/2006/relationships/webSettings" Target="webSettings.xml"/><Relationship Id="rId9" Type="http://schemas.openxmlformats.org/officeDocument/2006/relationships/hyperlink" Target="https://eur-lex.europa.eu/legal-content/EN/TXT/PDF/?uri=OJ:L:2005:265:FULL&amp;from=EN%20%20https://www.consilium.europa.eu/en/documents-publications/treaties-agreements/agreement/?id=200203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gcii@mincotur.ess" TargetMode="External"/><Relationship Id="rId1" Type="http://schemas.openxmlformats.org/officeDocument/2006/relationships/hyperlink" Target="http://www.comercio.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3566</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Secretaría de Estado de Comercio Turismo y  Pyme</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VSALGADO</dc:creator>
  <cp:lastModifiedBy>Anieme22@outlook.es</cp:lastModifiedBy>
  <cp:revision>2</cp:revision>
  <cp:lastPrinted>2022-06-09T16:08:00Z</cp:lastPrinted>
  <dcterms:created xsi:type="dcterms:W3CDTF">2022-06-15T07:49:00Z</dcterms:created>
  <dcterms:modified xsi:type="dcterms:W3CDTF">2022-06-15T07:49:00Z</dcterms:modified>
</cp:coreProperties>
</file>