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ED8F" w14:textId="0945521A" w:rsidR="004E40C2" w:rsidRPr="00C7506B" w:rsidRDefault="004E40C2" w:rsidP="004E40C2">
      <w:pPr>
        <w:jc w:val="right"/>
        <w:rPr>
          <w:rFonts w:cs="Arial"/>
          <w:sz w:val="22"/>
          <w:szCs w:val="22"/>
        </w:rPr>
      </w:pPr>
      <w:bookmarkStart w:id="0" w:name="_Hlk532224896"/>
      <w:r w:rsidRPr="00C7506B">
        <w:rPr>
          <w:rFonts w:cs="Arial"/>
          <w:sz w:val="22"/>
          <w:szCs w:val="22"/>
        </w:rPr>
        <w:t xml:space="preserve">Valencia, </w:t>
      </w:r>
      <w:r w:rsidR="004D30AB">
        <w:rPr>
          <w:rFonts w:cs="Arial"/>
          <w:sz w:val="22"/>
          <w:szCs w:val="22"/>
        </w:rPr>
        <w:t>2</w:t>
      </w:r>
      <w:r w:rsidR="00D34EF5">
        <w:rPr>
          <w:rFonts w:cs="Arial"/>
          <w:sz w:val="22"/>
          <w:szCs w:val="22"/>
        </w:rPr>
        <w:t>8</w:t>
      </w:r>
      <w:r w:rsidR="00C24D8C">
        <w:rPr>
          <w:rFonts w:cs="Arial"/>
          <w:sz w:val="22"/>
          <w:szCs w:val="22"/>
        </w:rPr>
        <w:t xml:space="preserve"> </w:t>
      </w:r>
      <w:r w:rsidRPr="00C7506B">
        <w:rPr>
          <w:rFonts w:cs="Arial"/>
          <w:sz w:val="22"/>
          <w:szCs w:val="22"/>
        </w:rPr>
        <w:t xml:space="preserve">de </w:t>
      </w:r>
      <w:r w:rsidR="00713BDF">
        <w:rPr>
          <w:rFonts w:cs="Arial"/>
          <w:sz w:val="22"/>
          <w:szCs w:val="22"/>
        </w:rPr>
        <w:t>junio</w:t>
      </w:r>
      <w:r w:rsidR="00EB5F5F">
        <w:rPr>
          <w:rFonts w:cs="Arial"/>
          <w:sz w:val="22"/>
          <w:szCs w:val="22"/>
        </w:rPr>
        <w:t xml:space="preserve"> de 20</w:t>
      </w:r>
      <w:r w:rsidR="00713BDF">
        <w:rPr>
          <w:rFonts w:cs="Arial"/>
          <w:sz w:val="22"/>
          <w:szCs w:val="22"/>
        </w:rPr>
        <w:t>2</w:t>
      </w:r>
      <w:r w:rsidR="00DE5596">
        <w:rPr>
          <w:rFonts w:cs="Arial"/>
          <w:sz w:val="22"/>
          <w:szCs w:val="22"/>
        </w:rPr>
        <w:t>1</w:t>
      </w:r>
    </w:p>
    <w:p w14:paraId="318F4D62" w14:textId="77777777" w:rsidR="004E40C2" w:rsidRPr="00C7506B" w:rsidRDefault="004E40C2" w:rsidP="004E40C2">
      <w:pPr>
        <w:jc w:val="right"/>
        <w:rPr>
          <w:rFonts w:cs="Arial"/>
          <w:sz w:val="22"/>
          <w:szCs w:val="22"/>
        </w:rPr>
      </w:pPr>
    </w:p>
    <w:p w14:paraId="6198788C" w14:textId="77777777" w:rsidR="004E40C2" w:rsidRDefault="004E40C2" w:rsidP="004E40C2">
      <w:pPr>
        <w:jc w:val="both"/>
        <w:rPr>
          <w:rFonts w:cs="Arial"/>
          <w:sz w:val="22"/>
          <w:szCs w:val="22"/>
        </w:rPr>
      </w:pPr>
    </w:p>
    <w:p w14:paraId="31558BCB" w14:textId="608CABB4" w:rsidR="004E40C2" w:rsidRPr="00DF3CA4" w:rsidRDefault="004E40C2" w:rsidP="004E40C2">
      <w:pPr>
        <w:jc w:val="both"/>
        <w:rPr>
          <w:rFonts w:cs="Arial"/>
          <w:b/>
          <w:bCs/>
          <w:sz w:val="22"/>
          <w:szCs w:val="22"/>
          <w:u w:val="single"/>
        </w:rPr>
      </w:pPr>
      <w:r w:rsidRPr="00DF3CA4">
        <w:rPr>
          <w:rFonts w:cs="Arial"/>
          <w:b/>
          <w:bCs/>
          <w:sz w:val="22"/>
          <w:szCs w:val="22"/>
        </w:rPr>
        <w:t>Ref.: Feria Maison&amp;Objet Paris (</w:t>
      </w:r>
      <w:r w:rsidR="00713BDF" w:rsidRPr="00DF3CA4">
        <w:rPr>
          <w:rFonts w:cs="Arial"/>
          <w:b/>
          <w:bCs/>
          <w:sz w:val="22"/>
          <w:szCs w:val="22"/>
        </w:rPr>
        <w:t>0</w:t>
      </w:r>
      <w:r w:rsidR="00DE5596">
        <w:rPr>
          <w:rFonts w:cs="Arial"/>
          <w:b/>
          <w:bCs/>
          <w:sz w:val="22"/>
          <w:szCs w:val="22"/>
        </w:rPr>
        <w:t>9</w:t>
      </w:r>
      <w:r w:rsidR="00713BDF" w:rsidRPr="00DF3CA4">
        <w:rPr>
          <w:rFonts w:cs="Arial"/>
          <w:b/>
          <w:bCs/>
          <w:sz w:val="22"/>
          <w:szCs w:val="22"/>
        </w:rPr>
        <w:t>-</w:t>
      </w:r>
      <w:r w:rsidR="00DE5596">
        <w:rPr>
          <w:rFonts w:cs="Arial"/>
          <w:b/>
          <w:bCs/>
          <w:sz w:val="22"/>
          <w:szCs w:val="22"/>
        </w:rPr>
        <w:t>13</w:t>
      </w:r>
      <w:r w:rsidR="00713BDF" w:rsidRPr="00DF3CA4">
        <w:rPr>
          <w:rFonts w:cs="Arial"/>
          <w:b/>
          <w:bCs/>
          <w:sz w:val="22"/>
          <w:szCs w:val="22"/>
        </w:rPr>
        <w:t xml:space="preserve"> </w:t>
      </w:r>
      <w:proofErr w:type="gramStart"/>
      <w:r w:rsidR="00713BDF" w:rsidRPr="00DF3CA4">
        <w:rPr>
          <w:rFonts w:cs="Arial"/>
          <w:b/>
          <w:bCs/>
          <w:sz w:val="22"/>
          <w:szCs w:val="22"/>
        </w:rPr>
        <w:t>Septiembre</w:t>
      </w:r>
      <w:proofErr w:type="gramEnd"/>
      <w:r w:rsidR="00713BDF" w:rsidRPr="00DF3CA4">
        <w:rPr>
          <w:rFonts w:cs="Arial"/>
          <w:b/>
          <w:bCs/>
          <w:sz w:val="22"/>
          <w:szCs w:val="22"/>
        </w:rPr>
        <w:t xml:space="preserve"> </w:t>
      </w:r>
      <w:r w:rsidRPr="00DF3CA4">
        <w:rPr>
          <w:rFonts w:cs="Arial"/>
          <w:b/>
          <w:bCs/>
          <w:sz w:val="22"/>
          <w:szCs w:val="22"/>
        </w:rPr>
        <w:t>20</w:t>
      </w:r>
      <w:r w:rsidR="00C24D8C" w:rsidRPr="00DF3CA4">
        <w:rPr>
          <w:rFonts w:cs="Arial"/>
          <w:b/>
          <w:bCs/>
          <w:sz w:val="22"/>
          <w:szCs w:val="22"/>
        </w:rPr>
        <w:t>2</w:t>
      </w:r>
      <w:r w:rsidR="00DE5596">
        <w:rPr>
          <w:rFonts w:cs="Arial"/>
          <w:b/>
          <w:bCs/>
          <w:sz w:val="22"/>
          <w:szCs w:val="22"/>
        </w:rPr>
        <w:t>1</w:t>
      </w:r>
      <w:r w:rsidRPr="00DF3CA4">
        <w:rPr>
          <w:rFonts w:cs="Arial"/>
          <w:b/>
          <w:bCs/>
          <w:sz w:val="22"/>
          <w:szCs w:val="22"/>
        </w:rPr>
        <w:t>)</w:t>
      </w:r>
    </w:p>
    <w:p w14:paraId="39E0CB08" w14:textId="77777777" w:rsidR="004E40C2" w:rsidRPr="00C7506B" w:rsidRDefault="004E40C2" w:rsidP="004E40C2">
      <w:pPr>
        <w:jc w:val="both"/>
        <w:rPr>
          <w:rFonts w:cs="Arial"/>
          <w:sz w:val="22"/>
          <w:szCs w:val="22"/>
        </w:rPr>
      </w:pPr>
    </w:p>
    <w:p w14:paraId="5E03373E" w14:textId="0FA406C3" w:rsidR="004E40C2" w:rsidRPr="00C7506B" w:rsidRDefault="00713BDF" w:rsidP="004E40C2">
      <w:pPr>
        <w:jc w:val="both"/>
        <w:rPr>
          <w:rFonts w:cs="Arial"/>
          <w:sz w:val="22"/>
          <w:szCs w:val="22"/>
        </w:rPr>
      </w:pPr>
      <w:r>
        <w:rPr>
          <w:rFonts w:cs="Arial"/>
          <w:sz w:val="22"/>
          <w:szCs w:val="22"/>
        </w:rPr>
        <w:t xml:space="preserve">ANIEME </w:t>
      </w:r>
      <w:r w:rsidRPr="00C7506B">
        <w:rPr>
          <w:rFonts w:cs="Arial"/>
          <w:sz w:val="22"/>
          <w:szCs w:val="22"/>
        </w:rPr>
        <w:t>ha solicitado la ayuda para la participación agrupada en</w:t>
      </w:r>
      <w:r>
        <w:rPr>
          <w:rFonts w:cs="Arial"/>
          <w:sz w:val="22"/>
          <w:szCs w:val="22"/>
        </w:rPr>
        <w:t xml:space="preserve"> la </w:t>
      </w:r>
      <w:r w:rsidRPr="00E9659E">
        <w:rPr>
          <w:rFonts w:cs="Arial"/>
          <w:b/>
          <w:bCs/>
          <w:sz w:val="22"/>
          <w:szCs w:val="22"/>
        </w:rPr>
        <w:t xml:space="preserve">edición de septiembre de la feria Maison&amp;Objet </w:t>
      </w:r>
      <w:r w:rsidRPr="00785781">
        <w:rPr>
          <w:rFonts w:cs="Arial"/>
          <w:b/>
          <w:bCs/>
          <w:sz w:val="22"/>
          <w:szCs w:val="22"/>
        </w:rPr>
        <w:t>Paris</w:t>
      </w:r>
      <w:r>
        <w:rPr>
          <w:rFonts w:cs="Arial"/>
          <w:sz w:val="22"/>
          <w:szCs w:val="22"/>
        </w:rPr>
        <w:t xml:space="preserve"> d</w:t>
      </w:r>
      <w:r w:rsidR="004E40C2">
        <w:rPr>
          <w:rFonts w:cs="Arial"/>
          <w:sz w:val="22"/>
          <w:szCs w:val="22"/>
        </w:rPr>
        <w:t>entro del</w:t>
      </w:r>
      <w:r w:rsidR="004E40C2" w:rsidRPr="00C7506B">
        <w:rPr>
          <w:rFonts w:cs="Arial"/>
          <w:sz w:val="22"/>
          <w:szCs w:val="22"/>
        </w:rPr>
        <w:t xml:space="preserve"> Plan Sectorial </w:t>
      </w:r>
      <w:r w:rsidR="00355E44">
        <w:rPr>
          <w:rFonts w:cs="Arial"/>
          <w:sz w:val="22"/>
          <w:szCs w:val="22"/>
        </w:rPr>
        <w:t xml:space="preserve">que anualmente coordina en colaboración con </w:t>
      </w:r>
      <w:r w:rsidR="00355E44" w:rsidRPr="00E35E62">
        <w:rPr>
          <w:rFonts w:cs="Arial"/>
          <w:sz w:val="22"/>
          <w:szCs w:val="22"/>
        </w:rPr>
        <w:t xml:space="preserve">ICEX España Exportación </w:t>
      </w:r>
      <w:r w:rsidR="00355E44">
        <w:rPr>
          <w:rFonts w:cs="Arial"/>
          <w:sz w:val="22"/>
          <w:szCs w:val="22"/>
        </w:rPr>
        <w:t xml:space="preserve">e </w:t>
      </w:r>
      <w:r w:rsidR="00355E44" w:rsidRPr="00E35E62">
        <w:rPr>
          <w:rFonts w:cs="Arial"/>
          <w:sz w:val="22"/>
          <w:szCs w:val="22"/>
        </w:rPr>
        <w:t>Inversiones</w:t>
      </w:r>
      <w:r w:rsidR="00355E44">
        <w:rPr>
          <w:rFonts w:cs="Arial"/>
          <w:sz w:val="22"/>
          <w:szCs w:val="22"/>
        </w:rPr>
        <w:t xml:space="preserve"> (ICEX)</w:t>
      </w:r>
      <w:r w:rsidR="004E40C2" w:rsidRPr="00C7506B">
        <w:rPr>
          <w:rFonts w:cs="Arial"/>
          <w:sz w:val="22"/>
          <w:szCs w:val="22"/>
        </w:rPr>
        <w:t xml:space="preserve">. </w:t>
      </w:r>
    </w:p>
    <w:p w14:paraId="3C6B340B" w14:textId="77777777" w:rsidR="004E40C2" w:rsidRPr="00C7506B" w:rsidRDefault="004E40C2" w:rsidP="004E40C2">
      <w:pPr>
        <w:jc w:val="both"/>
        <w:rPr>
          <w:rFonts w:cs="Arial"/>
          <w:sz w:val="22"/>
          <w:szCs w:val="22"/>
        </w:rPr>
      </w:pPr>
    </w:p>
    <w:p w14:paraId="77B860C3" w14:textId="77777777" w:rsidR="004E40C2" w:rsidRPr="00C7506B" w:rsidRDefault="004E40C2" w:rsidP="004E40C2">
      <w:pPr>
        <w:jc w:val="both"/>
        <w:rPr>
          <w:rFonts w:cs="Arial"/>
          <w:sz w:val="22"/>
          <w:szCs w:val="22"/>
        </w:rPr>
      </w:pPr>
      <w:r w:rsidRPr="00C7506B">
        <w:rPr>
          <w:rFonts w:cs="Arial"/>
          <w:sz w:val="22"/>
          <w:szCs w:val="22"/>
        </w:rPr>
        <w:t xml:space="preserve">Los motivos para ello son: </w:t>
      </w:r>
    </w:p>
    <w:p w14:paraId="7764FFB7" w14:textId="77777777" w:rsidR="004E40C2" w:rsidRPr="00C7506B" w:rsidRDefault="004E40C2" w:rsidP="004E40C2">
      <w:pPr>
        <w:jc w:val="both"/>
        <w:rPr>
          <w:rFonts w:cs="Arial"/>
          <w:sz w:val="22"/>
          <w:szCs w:val="22"/>
        </w:rPr>
      </w:pPr>
    </w:p>
    <w:p w14:paraId="78B2F874" w14:textId="0D1AAF5A" w:rsidR="004E40C2" w:rsidRPr="00C7506B" w:rsidRDefault="00713BDF" w:rsidP="004E40C2">
      <w:pPr>
        <w:pStyle w:val="Prrafodelista"/>
        <w:numPr>
          <w:ilvl w:val="0"/>
          <w:numId w:val="9"/>
        </w:numPr>
        <w:spacing w:after="200" w:line="276" w:lineRule="auto"/>
        <w:contextualSpacing/>
        <w:jc w:val="both"/>
        <w:rPr>
          <w:rFonts w:cs="Arial"/>
          <w:sz w:val="22"/>
          <w:szCs w:val="22"/>
        </w:rPr>
      </w:pPr>
      <w:r>
        <w:rPr>
          <w:rFonts w:cs="Arial"/>
          <w:sz w:val="22"/>
          <w:szCs w:val="22"/>
        </w:rPr>
        <w:t xml:space="preserve">Interés manifestado por las empresas del sector hábitat por la feria </w:t>
      </w:r>
      <w:r w:rsidR="004E40C2" w:rsidRPr="00C7506B">
        <w:rPr>
          <w:rFonts w:cs="Arial"/>
          <w:sz w:val="22"/>
          <w:szCs w:val="22"/>
        </w:rPr>
        <w:t>M&amp;O Paris</w:t>
      </w:r>
      <w:r>
        <w:rPr>
          <w:rFonts w:cs="Arial"/>
          <w:sz w:val="22"/>
          <w:szCs w:val="22"/>
        </w:rPr>
        <w:t xml:space="preserve">, feria que </w:t>
      </w:r>
      <w:r w:rsidR="004E40C2" w:rsidRPr="00C7506B">
        <w:rPr>
          <w:rFonts w:cs="Arial"/>
          <w:sz w:val="22"/>
          <w:szCs w:val="22"/>
        </w:rPr>
        <w:t>se ha consolidado como</w:t>
      </w:r>
      <w:r w:rsidR="001546F5">
        <w:rPr>
          <w:rFonts w:cs="Arial"/>
          <w:sz w:val="22"/>
          <w:szCs w:val="22"/>
        </w:rPr>
        <w:t xml:space="preserve"> un</w:t>
      </w:r>
      <w:r w:rsidR="004E40C2" w:rsidRPr="00C7506B">
        <w:rPr>
          <w:rFonts w:cs="Arial"/>
          <w:sz w:val="22"/>
          <w:szCs w:val="22"/>
        </w:rPr>
        <w:t xml:space="preserve"> punto de encuentro de la industria del mobiliario y la decoración y los importadores, decoradores de interior y prescriptores a nivel internacional. </w:t>
      </w:r>
    </w:p>
    <w:p w14:paraId="624FB61D" w14:textId="77777777" w:rsidR="004E40C2" w:rsidRPr="00C7506B" w:rsidRDefault="004E40C2" w:rsidP="004E40C2">
      <w:pPr>
        <w:pStyle w:val="Prrafodelista"/>
        <w:numPr>
          <w:ilvl w:val="0"/>
          <w:numId w:val="9"/>
        </w:numPr>
        <w:spacing w:after="200" w:line="276" w:lineRule="auto"/>
        <w:contextualSpacing/>
        <w:jc w:val="both"/>
        <w:rPr>
          <w:rFonts w:cs="Arial"/>
          <w:sz w:val="22"/>
          <w:szCs w:val="22"/>
        </w:rPr>
      </w:pPr>
      <w:r w:rsidRPr="00C7506B">
        <w:rPr>
          <w:rFonts w:cs="Arial"/>
          <w:sz w:val="22"/>
          <w:szCs w:val="22"/>
        </w:rPr>
        <w:t>El perfil del visitante difiere del que acude a otras grandes ferias sectoriales como e</w:t>
      </w:r>
      <w:r w:rsidR="001546F5">
        <w:rPr>
          <w:rFonts w:cs="Arial"/>
          <w:sz w:val="22"/>
          <w:szCs w:val="22"/>
        </w:rPr>
        <w:t xml:space="preserve">s el caso del </w:t>
      </w:r>
      <w:proofErr w:type="spellStart"/>
      <w:r w:rsidR="001546F5">
        <w:rPr>
          <w:rFonts w:cs="Arial"/>
          <w:sz w:val="22"/>
          <w:szCs w:val="22"/>
        </w:rPr>
        <w:t>Salone</w:t>
      </w:r>
      <w:proofErr w:type="spellEnd"/>
      <w:r w:rsidR="001546F5">
        <w:rPr>
          <w:rFonts w:cs="Arial"/>
          <w:sz w:val="22"/>
          <w:szCs w:val="22"/>
        </w:rPr>
        <w:t xml:space="preserve"> del </w:t>
      </w:r>
      <w:proofErr w:type="spellStart"/>
      <w:r w:rsidR="001546F5">
        <w:rPr>
          <w:rFonts w:cs="Arial"/>
          <w:sz w:val="22"/>
          <w:szCs w:val="22"/>
        </w:rPr>
        <w:t>Mobile.Milano</w:t>
      </w:r>
      <w:proofErr w:type="spellEnd"/>
      <w:r w:rsidR="005C6B1B">
        <w:rPr>
          <w:rFonts w:cs="Arial"/>
          <w:sz w:val="22"/>
          <w:szCs w:val="22"/>
        </w:rPr>
        <w:t xml:space="preserve"> o IMM Colonia</w:t>
      </w:r>
      <w:r w:rsidRPr="00C7506B">
        <w:rPr>
          <w:rFonts w:cs="Arial"/>
          <w:sz w:val="22"/>
          <w:szCs w:val="22"/>
        </w:rPr>
        <w:t>.</w:t>
      </w:r>
    </w:p>
    <w:p w14:paraId="270A6CEC" w14:textId="73C733A7" w:rsidR="004E40C2" w:rsidRPr="00C7506B" w:rsidRDefault="004E40C2" w:rsidP="004E40C2">
      <w:pPr>
        <w:pStyle w:val="Prrafodelista"/>
        <w:numPr>
          <w:ilvl w:val="0"/>
          <w:numId w:val="9"/>
        </w:numPr>
        <w:spacing w:after="200" w:line="276" w:lineRule="auto"/>
        <w:contextualSpacing/>
        <w:jc w:val="both"/>
        <w:rPr>
          <w:rFonts w:cs="Arial"/>
          <w:sz w:val="22"/>
          <w:szCs w:val="22"/>
        </w:rPr>
      </w:pPr>
      <w:r w:rsidRPr="00C7506B">
        <w:rPr>
          <w:rFonts w:cs="Arial"/>
          <w:sz w:val="22"/>
          <w:szCs w:val="22"/>
        </w:rPr>
        <w:t xml:space="preserve">Interés constante por parte de un importante grupo de empresas españolas por afianzarse en el mercado francés y, al mismo tiempo, buscar nuevas oportunidades de negocio </w:t>
      </w:r>
      <w:r w:rsidR="00DE5596">
        <w:rPr>
          <w:rFonts w:cs="Arial"/>
          <w:sz w:val="22"/>
          <w:szCs w:val="22"/>
        </w:rPr>
        <w:t>en otros mercados a los que también atrae esta feria</w:t>
      </w:r>
      <w:r w:rsidRPr="00C7506B">
        <w:rPr>
          <w:rFonts w:cs="Arial"/>
          <w:sz w:val="22"/>
          <w:szCs w:val="22"/>
        </w:rPr>
        <w:t>.</w:t>
      </w:r>
    </w:p>
    <w:p w14:paraId="56017346" w14:textId="00D5BC5E" w:rsidR="004E40C2" w:rsidRDefault="004E40C2" w:rsidP="00DF3CA4">
      <w:pPr>
        <w:pStyle w:val="Prrafodelista"/>
        <w:numPr>
          <w:ilvl w:val="0"/>
          <w:numId w:val="9"/>
        </w:numPr>
        <w:spacing w:line="276" w:lineRule="auto"/>
        <w:contextualSpacing/>
        <w:jc w:val="both"/>
        <w:rPr>
          <w:rFonts w:cs="Arial"/>
          <w:sz w:val="22"/>
          <w:szCs w:val="22"/>
        </w:rPr>
      </w:pPr>
      <w:r w:rsidRPr="00C7506B">
        <w:rPr>
          <w:rFonts w:cs="Arial"/>
          <w:sz w:val="22"/>
          <w:szCs w:val="22"/>
        </w:rPr>
        <w:t xml:space="preserve">Francia se mantiene como el primer destino de las exportaciones españolas de mobiliario en los últimos años y continúa </w:t>
      </w:r>
      <w:r w:rsidR="00DE5596">
        <w:rPr>
          <w:rFonts w:cs="Arial"/>
          <w:sz w:val="22"/>
          <w:szCs w:val="22"/>
        </w:rPr>
        <w:t>incrementando</w:t>
      </w:r>
      <w:r w:rsidR="00937539">
        <w:rPr>
          <w:rFonts w:cs="Arial"/>
          <w:sz w:val="22"/>
          <w:szCs w:val="22"/>
        </w:rPr>
        <w:t xml:space="preserve"> su cuota de mercado</w:t>
      </w:r>
      <w:r w:rsidRPr="00C7506B">
        <w:rPr>
          <w:rFonts w:cs="Arial"/>
          <w:sz w:val="22"/>
          <w:szCs w:val="22"/>
        </w:rPr>
        <w:t>.</w:t>
      </w:r>
    </w:p>
    <w:p w14:paraId="367B79B5" w14:textId="77777777" w:rsidR="00DF3CA4" w:rsidRPr="00DF3CA4" w:rsidRDefault="00DF3CA4" w:rsidP="00DF3CA4">
      <w:pPr>
        <w:spacing w:after="200" w:line="276" w:lineRule="auto"/>
        <w:ind w:left="360"/>
        <w:contextualSpacing/>
        <w:jc w:val="both"/>
        <w:rPr>
          <w:rFonts w:cs="Arial"/>
          <w:sz w:val="22"/>
          <w:szCs w:val="22"/>
        </w:rPr>
      </w:pPr>
    </w:p>
    <w:p w14:paraId="3F7714A9" w14:textId="77777777" w:rsidR="004E40C2" w:rsidRPr="00C7506B" w:rsidRDefault="004E40C2" w:rsidP="004E40C2">
      <w:pPr>
        <w:jc w:val="both"/>
        <w:rPr>
          <w:rFonts w:cs="Arial"/>
          <w:b/>
          <w:sz w:val="22"/>
          <w:szCs w:val="22"/>
        </w:rPr>
      </w:pPr>
      <w:r w:rsidRPr="00C7506B">
        <w:rPr>
          <w:rFonts w:cs="Arial"/>
          <w:b/>
          <w:sz w:val="22"/>
          <w:szCs w:val="22"/>
        </w:rPr>
        <w:t>CONDICIONES DE PARTICIPACIÓN</w:t>
      </w:r>
    </w:p>
    <w:p w14:paraId="5660713C" w14:textId="77777777" w:rsidR="004E40C2" w:rsidRPr="00C7506B" w:rsidRDefault="004E40C2" w:rsidP="004E40C2">
      <w:pPr>
        <w:jc w:val="both"/>
        <w:rPr>
          <w:rFonts w:cs="Arial"/>
          <w:b/>
          <w:sz w:val="22"/>
          <w:szCs w:val="22"/>
        </w:rPr>
      </w:pPr>
    </w:p>
    <w:p w14:paraId="4CE4DC78" w14:textId="265DC0C6" w:rsidR="004E40C2" w:rsidRPr="00C7506B" w:rsidRDefault="004E40C2" w:rsidP="004E40C2">
      <w:pPr>
        <w:jc w:val="both"/>
        <w:rPr>
          <w:rFonts w:cs="Arial"/>
          <w:sz w:val="22"/>
          <w:szCs w:val="22"/>
        </w:rPr>
      </w:pPr>
      <w:r w:rsidRPr="00C7506B">
        <w:rPr>
          <w:rFonts w:cs="Arial"/>
          <w:sz w:val="22"/>
          <w:szCs w:val="22"/>
        </w:rPr>
        <w:t xml:space="preserve">A modo informativo, los costes de participación en la edición de </w:t>
      </w:r>
      <w:r w:rsidR="0059772D">
        <w:rPr>
          <w:rFonts w:cs="Arial"/>
          <w:sz w:val="22"/>
          <w:szCs w:val="22"/>
        </w:rPr>
        <w:t>septiembre</w:t>
      </w:r>
      <w:r w:rsidRPr="00CE5FE2">
        <w:rPr>
          <w:rFonts w:cs="Arial"/>
          <w:sz w:val="22"/>
          <w:szCs w:val="22"/>
        </w:rPr>
        <w:t xml:space="preserve"> de 20</w:t>
      </w:r>
      <w:r w:rsidR="005C6B1B">
        <w:rPr>
          <w:rFonts w:cs="Arial"/>
          <w:sz w:val="22"/>
          <w:szCs w:val="22"/>
        </w:rPr>
        <w:t>2</w:t>
      </w:r>
      <w:r w:rsidR="00DE5596">
        <w:rPr>
          <w:rFonts w:cs="Arial"/>
          <w:sz w:val="22"/>
          <w:szCs w:val="22"/>
        </w:rPr>
        <w:t>1</w:t>
      </w:r>
      <w:r w:rsidRPr="00C7506B">
        <w:rPr>
          <w:rFonts w:cs="Arial"/>
          <w:sz w:val="22"/>
          <w:szCs w:val="22"/>
        </w:rPr>
        <w:t xml:space="preserve"> son</w:t>
      </w:r>
      <w:r w:rsidR="00931DA4">
        <w:rPr>
          <w:rFonts w:cs="Arial"/>
          <w:sz w:val="22"/>
          <w:szCs w:val="22"/>
        </w:rPr>
        <w:t xml:space="preserve"> los siguientes</w:t>
      </w:r>
      <w:r w:rsidRPr="00C7506B">
        <w:rPr>
          <w:rFonts w:cs="Arial"/>
          <w:sz w:val="22"/>
          <w:szCs w:val="22"/>
        </w:rPr>
        <w:t xml:space="preserve">: </w:t>
      </w:r>
    </w:p>
    <w:p w14:paraId="02EAC0FD" w14:textId="77777777" w:rsidR="004E40C2" w:rsidRPr="00C7506B" w:rsidRDefault="004E40C2" w:rsidP="004E40C2">
      <w:pPr>
        <w:jc w:val="both"/>
        <w:rPr>
          <w:rFonts w:cs="Arial"/>
          <w:sz w:val="22"/>
          <w:szCs w:val="22"/>
        </w:rPr>
      </w:pPr>
    </w:p>
    <w:p w14:paraId="02FA51C7" w14:textId="77777777" w:rsidR="004E40C2" w:rsidRDefault="00CE5FE2" w:rsidP="00931DA4">
      <w:pPr>
        <w:numPr>
          <w:ilvl w:val="0"/>
          <w:numId w:val="7"/>
        </w:numPr>
        <w:tabs>
          <w:tab w:val="clear" w:pos="2148"/>
          <w:tab w:val="num" w:pos="1134"/>
        </w:tabs>
        <w:spacing w:line="276" w:lineRule="auto"/>
        <w:ind w:left="993" w:hanging="142"/>
        <w:jc w:val="both"/>
        <w:rPr>
          <w:rFonts w:cs="Arial"/>
          <w:sz w:val="22"/>
          <w:szCs w:val="22"/>
        </w:rPr>
      </w:pPr>
      <w:r>
        <w:rPr>
          <w:rFonts w:cs="Arial"/>
          <w:sz w:val="22"/>
          <w:szCs w:val="22"/>
        </w:rPr>
        <w:t>Precio standard</w:t>
      </w:r>
      <w:r w:rsidR="005C6B1B">
        <w:rPr>
          <w:rFonts w:cs="Arial"/>
          <w:sz w:val="22"/>
          <w:szCs w:val="22"/>
        </w:rPr>
        <w:t xml:space="preserve"> antiguo expositor</w:t>
      </w:r>
      <w:r w:rsidR="004E40C2" w:rsidRPr="00C7506B">
        <w:rPr>
          <w:rFonts w:cs="Arial"/>
          <w:sz w:val="22"/>
          <w:szCs w:val="22"/>
        </w:rPr>
        <w:t>: 2</w:t>
      </w:r>
      <w:r w:rsidR="004E40C2">
        <w:rPr>
          <w:rFonts w:cs="Arial"/>
          <w:sz w:val="22"/>
          <w:szCs w:val="22"/>
        </w:rPr>
        <w:t>9</w:t>
      </w:r>
      <w:r>
        <w:rPr>
          <w:rFonts w:cs="Arial"/>
          <w:sz w:val="22"/>
          <w:szCs w:val="22"/>
        </w:rPr>
        <w:t>9</w:t>
      </w:r>
      <w:r w:rsidR="004E40C2" w:rsidRPr="00C7506B">
        <w:rPr>
          <w:rFonts w:cs="Arial"/>
          <w:sz w:val="22"/>
          <w:szCs w:val="22"/>
        </w:rPr>
        <w:t xml:space="preserve"> €/m</w:t>
      </w:r>
      <w:r w:rsidR="004E40C2" w:rsidRPr="00C7506B">
        <w:rPr>
          <w:rFonts w:cs="Arial"/>
          <w:sz w:val="22"/>
          <w:szCs w:val="22"/>
          <w:vertAlign w:val="superscript"/>
        </w:rPr>
        <w:t>2</w:t>
      </w:r>
    </w:p>
    <w:p w14:paraId="581FE4AF" w14:textId="77777777" w:rsidR="005C6B1B" w:rsidRPr="00C7506B" w:rsidRDefault="005C6B1B" w:rsidP="00931DA4">
      <w:pPr>
        <w:numPr>
          <w:ilvl w:val="0"/>
          <w:numId w:val="7"/>
        </w:numPr>
        <w:tabs>
          <w:tab w:val="clear" w:pos="2148"/>
          <w:tab w:val="num" w:pos="1134"/>
        </w:tabs>
        <w:spacing w:line="276" w:lineRule="auto"/>
        <w:ind w:left="993" w:hanging="142"/>
        <w:jc w:val="both"/>
        <w:rPr>
          <w:rFonts w:cs="Arial"/>
          <w:sz w:val="22"/>
          <w:szCs w:val="22"/>
        </w:rPr>
      </w:pPr>
      <w:r>
        <w:rPr>
          <w:rFonts w:cs="Arial"/>
          <w:sz w:val="22"/>
          <w:szCs w:val="22"/>
        </w:rPr>
        <w:t>Precio standard nuevo expositor</w:t>
      </w:r>
      <w:r w:rsidRPr="00C7506B">
        <w:rPr>
          <w:rFonts w:cs="Arial"/>
          <w:sz w:val="22"/>
          <w:szCs w:val="22"/>
        </w:rPr>
        <w:t xml:space="preserve">: </w:t>
      </w:r>
      <w:r>
        <w:rPr>
          <w:rFonts w:cs="Arial"/>
          <w:sz w:val="22"/>
          <w:szCs w:val="22"/>
        </w:rPr>
        <w:t>304</w:t>
      </w:r>
      <w:r w:rsidRPr="00C7506B">
        <w:rPr>
          <w:rFonts w:cs="Arial"/>
          <w:sz w:val="22"/>
          <w:szCs w:val="22"/>
        </w:rPr>
        <w:t xml:space="preserve"> €/m</w:t>
      </w:r>
      <w:r w:rsidRPr="00C7506B">
        <w:rPr>
          <w:rFonts w:cs="Arial"/>
          <w:sz w:val="22"/>
          <w:szCs w:val="22"/>
          <w:vertAlign w:val="superscript"/>
        </w:rPr>
        <w:t>2</w:t>
      </w:r>
    </w:p>
    <w:p w14:paraId="5A94F08C" w14:textId="77777777" w:rsidR="004E40C2" w:rsidRPr="005C6B1B" w:rsidRDefault="00BA0513" w:rsidP="00931DA4">
      <w:pPr>
        <w:numPr>
          <w:ilvl w:val="0"/>
          <w:numId w:val="7"/>
        </w:numPr>
        <w:tabs>
          <w:tab w:val="clear" w:pos="2148"/>
          <w:tab w:val="num" w:pos="1134"/>
        </w:tabs>
        <w:spacing w:line="276" w:lineRule="auto"/>
        <w:ind w:left="993" w:hanging="142"/>
        <w:jc w:val="both"/>
        <w:rPr>
          <w:rFonts w:cs="Arial"/>
          <w:sz w:val="22"/>
          <w:szCs w:val="22"/>
        </w:rPr>
      </w:pPr>
      <w:r w:rsidRPr="005C6B1B">
        <w:rPr>
          <w:rFonts w:cs="Arial"/>
          <w:sz w:val="22"/>
          <w:szCs w:val="22"/>
        </w:rPr>
        <w:t xml:space="preserve">Precio zona </w:t>
      </w:r>
      <w:proofErr w:type="spellStart"/>
      <w:r w:rsidRPr="005C6B1B">
        <w:rPr>
          <w:rFonts w:cs="Arial"/>
          <w:sz w:val="22"/>
          <w:szCs w:val="22"/>
        </w:rPr>
        <w:t>Signature</w:t>
      </w:r>
      <w:proofErr w:type="spellEnd"/>
      <w:r w:rsidRPr="005C6B1B">
        <w:rPr>
          <w:rFonts w:cs="Arial"/>
          <w:sz w:val="22"/>
          <w:szCs w:val="22"/>
        </w:rPr>
        <w:t xml:space="preserve"> </w:t>
      </w:r>
      <w:r w:rsidR="005C6B1B" w:rsidRPr="005C6B1B">
        <w:rPr>
          <w:rFonts w:cs="Arial"/>
          <w:sz w:val="22"/>
          <w:szCs w:val="22"/>
        </w:rPr>
        <w:t>antiguo expositor</w:t>
      </w:r>
      <w:r w:rsidR="004E40C2" w:rsidRPr="005C6B1B">
        <w:rPr>
          <w:rFonts w:cs="Arial"/>
          <w:sz w:val="22"/>
          <w:szCs w:val="22"/>
        </w:rPr>
        <w:t>: 3</w:t>
      </w:r>
      <w:r w:rsidR="005C6B1B" w:rsidRPr="005C6B1B">
        <w:rPr>
          <w:rFonts w:cs="Arial"/>
          <w:sz w:val="22"/>
          <w:szCs w:val="22"/>
        </w:rPr>
        <w:t>11</w:t>
      </w:r>
      <w:r w:rsidR="004E40C2" w:rsidRPr="005C6B1B">
        <w:rPr>
          <w:rFonts w:cs="Arial"/>
          <w:sz w:val="22"/>
          <w:szCs w:val="22"/>
        </w:rPr>
        <w:t xml:space="preserve"> €/m</w:t>
      </w:r>
      <w:r w:rsidR="004E40C2" w:rsidRPr="005C6B1B">
        <w:rPr>
          <w:rFonts w:cs="Arial"/>
          <w:sz w:val="22"/>
          <w:szCs w:val="22"/>
          <w:vertAlign w:val="superscript"/>
        </w:rPr>
        <w:t>2</w:t>
      </w:r>
    </w:p>
    <w:p w14:paraId="1EDD2166" w14:textId="77777777" w:rsidR="005C6B1B" w:rsidRPr="005C6B1B" w:rsidRDefault="005C6B1B" w:rsidP="00931DA4">
      <w:pPr>
        <w:numPr>
          <w:ilvl w:val="0"/>
          <w:numId w:val="7"/>
        </w:numPr>
        <w:tabs>
          <w:tab w:val="clear" w:pos="2148"/>
          <w:tab w:val="num" w:pos="1134"/>
        </w:tabs>
        <w:spacing w:line="276" w:lineRule="auto"/>
        <w:ind w:left="993" w:hanging="142"/>
        <w:jc w:val="both"/>
        <w:rPr>
          <w:rFonts w:cs="Arial"/>
          <w:sz w:val="22"/>
          <w:szCs w:val="22"/>
        </w:rPr>
      </w:pPr>
      <w:r w:rsidRPr="005C6B1B">
        <w:rPr>
          <w:rFonts w:cs="Arial"/>
          <w:sz w:val="22"/>
          <w:szCs w:val="22"/>
        </w:rPr>
        <w:t xml:space="preserve">Precio zona </w:t>
      </w:r>
      <w:proofErr w:type="spellStart"/>
      <w:r w:rsidRPr="005C6B1B">
        <w:rPr>
          <w:rFonts w:cs="Arial"/>
          <w:sz w:val="22"/>
          <w:szCs w:val="22"/>
        </w:rPr>
        <w:t>Signature</w:t>
      </w:r>
      <w:proofErr w:type="spellEnd"/>
      <w:r w:rsidRPr="005C6B1B">
        <w:rPr>
          <w:rFonts w:cs="Arial"/>
          <w:sz w:val="22"/>
          <w:szCs w:val="22"/>
        </w:rPr>
        <w:t xml:space="preserve"> </w:t>
      </w:r>
      <w:r>
        <w:rPr>
          <w:rFonts w:cs="Arial"/>
          <w:sz w:val="22"/>
          <w:szCs w:val="22"/>
        </w:rPr>
        <w:t>nuevo</w:t>
      </w:r>
      <w:r w:rsidRPr="005C6B1B">
        <w:rPr>
          <w:rFonts w:cs="Arial"/>
          <w:sz w:val="22"/>
          <w:szCs w:val="22"/>
        </w:rPr>
        <w:t xml:space="preserve"> expositor: 31</w:t>
      </w:r>
      <w:r>
        <w:rPr>
          <w:rFonts w:cs="Arial"/>
          <w:sz w:val="22"/>
          <w:szCs w:val="22"/>
        </w:rPr>
        <w:t>5</w:t>
      </w:r>
      <w:r w:rsidRPr="005C6B1B">
        <w:rPr>
          <w:rFonts w:cs="Arial"/>
          <w:sz w:val="22"/>
          <w:szCs w:val="22"/>
        </w:rPr>
        <w:t xml:space="preserve"> €/m</w:t>
      </w:r>
      <w:r w:rsidRPr="005C6B1B">
        <w:rPr>
          <w:rFonts w:cs="Arial"/>
          <w:sz w:val="22"/>
          <w:szCs w:val="22"/>
          <w:vertAlign w:val="superscript"/>
        </w:rPr>
        <w:t>2</w:t>
      </w:r>
    </w:p>
    <w:p w14:paraId="2457072B" w14:textId="77777777" w:rsidR="004E40C2" w:rsidRPr="00C7506B" w:rsidRDefault="004E40C2" w:rsidP="00931DA4">
      <w:pPr>
        <w:numPr>
          <w:ilvl w:val="0"/>
          <w:numId w:val="7"/>
        </w:numPr>
        <w:tabs>
          <w:tab w:val="clear" w:pos="2148"/>
          <w:tab w:val="num" w:pos="1134"/>
        </w:tabs>
        <w:spacing w:line="276" w:lineRule="auto"/>
        <w:ind w:left="993" w:hanging="142"/>
        <w:jc w:val="both"/>
        <w:rPr>
          <w:rFonts w:cs="Arial"/>
          <w:sz w:val="22"/>
          <w:szCs w:val="22"/>
        </w:rPr>
      </w:pPr>
      <w:r w:rsidRPr="00C7506B">
        <w:rPr>
          <w:rFonts w:cs="Arial"/>
          <w:sz w:val="22"/>
          <w:szCs w:val="22"/>
        </w:rPr>
        <w:t>Suplemento por lados abiertos:</w:t>
      </w:r>
    </w:p>
    <w:p w14:paraId="39BAD08B" w14:textId="77777777" w:rsidR="004E40C2" w:rsidRPr="00C7506B" w:rsidRDefault="004E40C2" w:rsidP="00931DA4">
      <w:pPr>
        <w:numPr>
          <w:ilvl w:val="0"/>
          <w:numId w:val="6"/>
        </w:numPr>
        <w:spacing w:line="276" w:lineRule="auto"/>
        <w:jc w:val="both"/>
        <w:rPr>
          <w:rFonts w:cs="Arial"/>
          <w:sz w:val="22"/>
          <w:szCs w:val="22"/>
        </w:rPr>
      </w:pPr>
      <w:r w:rsidRPr="00C7506B">
        <w:rPr>
          <w:rFonts w:cs="Arial"/>
          <w:sz w:val="22"/>
          <w:szCs w:val="22"/>
        </w:rPr>
        <w:t>Menos de 100 m</w:t>
      </w:r>
      <w:r w:rsidRPr="00C7506B">
        <w:rPr>
          <w:rFonts w:cs="Arial"/>
          <w:sz w:val="22"/>
          <w:szCs w:val="22"/>
          <w:vertAlign w:val="superscript"/>
        </w:rPr>
        <w:t>2</w:t>
      </w:r>
      <w:r w:rsidRPr="00C7506B">
        <w:rPr>
          <w:rFonts w:cs="Arial"/>
          <w:sz w:val="22"/>
          <w:szCs w:val="22"/>
        </w:rPr>
        <w:t>:</w:t>
      </w:r>
    </w:p>
    <w:p w14:paraId="4EDF28C1" w14:textId="77777777" w:rsidR="004E40C2" w:rsidRPr="00C7506B" w:rsidRDefault="004E40C2" w:rsidP="00931DA4">
      <w:pPr>
        <w:numPr>
          <w:ilvl w:val="0"/>
          <w:numId w:val="6"/>
        </w:numPr>
        <w:tabs>
          <w:tab w:val="clear" w:pos="2148"/>
        </w:tabs>
        <w:spacing w:line="276" w:lineRule="auto"/>
        <w:ind w:left="2880"/>
        <w:jc w:val="both"/>
        <w:rPr>
          <w:rFonts w:cs="Arial"/>
          <w:sz w:val="22"/>
          <w:szCs w:val="22"/>
        </w:rPr>
      </w:pPr>
      <w:r w:rsidRPr="00C7506B">
        <w:rPr>
          <w:rFonts w:cs="Arial"/>
          <w:sz w:val="22"/>
          <w:szCs w:val="22"/>
        </w:rPr>
        <w:t>2 lados abiertos: +10%</w:t>
      </w:r>
    </w:p>
    <w:p w14:paraId="622B6028" w14:textId="77777777" w:rsidR="004E40C2" w:rsidRPr="00C7506B" w:rsidRDefault="004E40C2" w:rsidP="00931DA4">
      <w:pPr>
        <w:numPr>
          <w:ilvl w:val="0"/>
          <w:numId w:val="6"/>
        </w:numPr>
        <w:tabs>
          <w:tab w:val="clear" w:pos="2148"/>
        </w:tabs>
        <w:spacing w:line="276" w:lineRule="auto"/>
        <w:ind w:left="2880"/>
        <w:jc w:val="both"/>
        <w:rPr>
          <w:rFonts w:cs="Arial"/>
          <w:sz w:val="22"/>
          <w:szCs w:val="22"/>
        </w:rPr>
      </w:pPr>
      <w:r w:rsidRPr="00C7506B">
        <w:rPr>
          <w:rFonts w:cs="Arial"/>
          <w:sz w:val="22"/>
          <w:szCs w:val="22"/>
        </w:rPr>
        <w:t xml:space="preserve">3 </w:t>
      </w:r>
      <w:proofErr w:type="spellStart"/>
      <w:r w:rsidRPr="00C7506B">
        <w:rPr>
          <w:rFonts w:cs="Arial"/>
          <w:sz w:val="22"/>
          <w:szCs w:val="22"/>
        </w:rPr>
        <w:t>ó</w:t>
      </w:r>
      <w:proofErr w:type="spellEnd"/>
      <w:r w:rsidRPr="00C7506B">
        <w:rPr>
          <w:rFonts w:cs="Arial"/>
          <w:sz w:val="22"/>
          <w:szCs w:val="22"/>
        </w:rPr>
        <w:t xml:space="preserve"> 4 lados abiertos: +20%</w:t>
      </w:r>
    </w:p>
    <w:p w14:paraId="3514DBE3" w14:textId="77777777" w:rsidR="004E40C2" w:rsidRPr="00C7506B" w:rsidRDefault="004E40C2" w:rsidP="00931DA4">
      <w:pPr>
        <w:numPr>
          <w:ilvl w:val="0"/>
          <w:numId w:val="6"/>
        </w:numPr>
        <w:spacing w:line="276" w:lineRule="auto"/>
        <w:jc w:val="both"/>
        <w:rPr>
          <w:rFonts w:cs="Arial"/>
          <w:sz w:val="22"/>
          <w:szCs w:val="22"/>
        </w:rPr>
      </w:pPr>
      <w:r w:rsidRPr="00C7506B">
        <w:rPr>
          <w:rFonts w:cs="Arial"/>
          <w:sz w:val="22"/>
          <w:szCs w:val="22"/>
        </w:rPr>
        <w:t xml:space="preserve">De </w:t>
      </w:r>
      <w:smartTag w:uri="urn:schemas-microsoft-com:office:smarttags" w:element="metricconverter">
        <w:smartTagPr>
          <w:attr w:name="ProductID" w:val="100 m2"/>
        </w:smartTagPr>
        <w:r w:rsidRPr="00C7506B">
          <w:rPr>
            <w:rFonts w:cs="Arial"/>
            <w:sz w:val="22"/>
            <w:szCs w:val="22"/>
          </w:rPr>
          <w:t>100 m</w:t>
        </w:r>
        <w:r w:rsidRPr="00C7506B">
          <w:rPr>
            <w:rFonts w:cs="Arial"/>
            <w:sz w:val="22"/>
            <w:szCs w:val="22"/>
            <w:vertAlign w:val="superscript"/>
          </w:rPr>
          <w:t>2</w:t>
        </w:r>
      </w:smartTag>
      <w:r w:rsidRPr="00C7506B">
        <w:rPr>
          <w:rFonts w:cs="Arial"/>
          <w:sz w:val="22"/>
          <w:szCs w:val="22"/>
        </w:rPr>
        <w:t xml:space="preserve"> a 200 m</w:t>
      </w:r>
      <w:r w:rsidRPr="00C7506B">
        <w:rPr>
          <w:rFonts w:cs="Arial"/>
          <w:sz w:val="22"/>
          <w:szCs w:val="22"/>
          <w:vertAlign w:val="superscript"/>
        </w:rPr>
        <w:t>2</w:t>
      </w:r>
      <w:r w:rsidRPr="00C7506B">
        <w:rPr>
          <w:rFonts w:cs="Arial"/>
          <w:sz w:val="22"/>
          <w:szCs w:val="22"/>
        </w:rPr>
        <w:t>:</w:t>
      </w:r>
    </w:p>
    <w:p w14:paraId="7C4468E1" w14:textId="17E811F9" w:rsidR="004E40C2" w:rsidRPr="00C7506B" w:rsidRDefault="004E40C2" w:rsidP="00931DA4">
      <w:pPr>
        <w:numPr>
          <w:ilvl w:val="0"/>
          <w:numId w:val="6"/>
        </w:numPr>
        <w:tabs>
          <w:tab w:val="clear" w:pos="2148"/>
        </w:tabs>
        <w:spacing w:line="276" w:lineRule="auto"/>
        <w:ind w:left="2880"/>
        <w:jc w:val="both"/>
        <w:rPr>
          <w:rFonts w:cs="Arial"/>
          <w:sz w:val="22"/>
          <w:szCs w:val="22"/>
        </w:rPr>
      </w:pPr>
      <w:r w:rsidRPr="00C7506B">
        <w:rPr>
          <w:rFonts w:cs="Arial"/>
          <w:sz w:val="22"/>
          <w:szCs w:val="22"/>
        </w:rPr>
        <w:t xml:space="preserve">2, 3 </w:t>
      </w:r>
      <w:proofErr w:type="spellStart"/>
      <w:r w:rsidRPr="00C7506B">
        <w:rPr>
          <w:rFonts w:cs="Arial"/>
          <w:sz w:val="22"/>
          <w:szCs w:val="22"/>
        </w:rPr>
        <w:t>ó</w:t>
      </w:r>
      <w:proofErr w:type="spellEnd"/>
      <w:r w:rsidRPr="00C7506B">
        <w:rPr>
          <w:rFonts w:cs="Arial"/>
          <w:sz w:val="22"/>
          <w:szCs w:val="22"/>
        </w:rPr>
        <w:t xml:space="preserve"> 4 lados abiertos: +10%</w:t>
      </w:r>
    </w:p>
    <w:p w14:paraId="677882A3" w14:textId="77777777" w:rsidR="004E40C2" w:rsidRPr="00C7506B" w:rsidRDefault="004E40C2" w:rsidP="00931DA4">
      <w:pPr>
        <w:numPr>
          <w:ilvl w:val="0"/>
          <w:numId w:val="6"/>
        </w:numPr>
        <w:spacing w:line="276" w:lineRule="auto"/>
        <w:jc w:val="both"/>
        <w:rPr>
          <w:rFonts w:cs="Arial"/>
          <w:sz w:val="22"/>
          <w:szCs w:val="22"/>
        </w:rPr>
      </w:pPr>
      <w:r w:rsidRPr="00C7506B">
        <w:rPr>
          <w:rFonts w:cs="Arial"/>
          <w:sz w:val="22"/>
          <w:szCs w:val="22"/>
        </w:rPr>
        <w:t>Más de 200 m</w:t>
      </w:r>
      <w:r w:rsidRPr="00C7506B">
        <w:rPr>
          <w:rFonts w:cs="Arial"/>
          <w:sz w:val="22"/>
          <w:szCs w:val="22"/>
          <w:vertAlign w:val="superscript"/>
        </w:rPr>
        <w:t>2</w:t>
      </w:r>
      <w:r w:rsidRPr="00C7506B">
        <w:rPr>
          <w:rFonts w:cs="Arial"/>
          <w:sz w:val="22"/>
          <w:szCs w:val="22"/>
        </w:rPr>
        <w:t>: gratuito</w:t>
      </w:r>
    </w:p>
    <w:p w14:paraId="295DEEED" w14:textId="77777777" w:rsidR="00907965" w:rsidRDefault="00907965" w:rsidP="00907965">
      <w:pPr>
        <w:spacing w:line="276" w:lineRule="auto"/>
        <w:ind w:left="851"/>
        <w:jc w:val="both"/>
        <w:rPr>
          <w:rFonts w:cs="Arial"/>
          <w:sz w:val="22"/>
          <w:szCs w:val="22"/>
        </w:rPr>
      </w:pPr>
    </w:p>
    <w:p w14:paraId="15388DA5" w14:textId="67BC18B6" w:rsidR="008140F3" w:rsidRDefault="008140F3" w:rsidP="00931DA4">
      <w:pPr>
        <w:numPr>
          <w:ilvl w:val="0"/>
          <w:numId w:val="8"/>
        </w:numPr>
        <w:spacing w:line="276" w:lineRule="auto"/>
        <w:ind w:left="993" w:hanging="142"/>
        <w:jc w:val="both"/>
        <w:rPr>
          <w:rFonts w:cs="Arial"/>
          <w:sz w:val="22"/>
          <w:szCs w:val="22"/>
        </w:rPr>
      </w:pPr>
      <w:r>
        <w:rPr>
          <w:rFonts w:cs="Arial"/>
          <w:sz w:val="22"/>
          <w:szCs w:val="22"/>
        </w:rPr>
        <w:t>A estos costes hay que añadir un suplemento en función de la ubicación del stand dentro del pabellón (cabecera + 18</w:t>
      </w:r>
      <w:r w:rsidRPr="008140F3">
        <w:rPr>
          <w:rFonts w:cs="Arial"/>
          <w:sz w:val="22"/>
          <w:szCs w:val="22"/>
        </w:rPr>
        <w:t>€/m</w:t>
      </w:r>
      <w:r w:rsidRPr="008140F3">
        <w:rPr>
          <w:rFonts w:cs="Arial"/>
          <w:sz w:val="22"/>
          <w:szCs w:val="22"/>
          <w:vertAlign w:val="superscript"/>
        </w:rPr>
        <w:t>2</w:t>
      </w:r>
      <w:r w:rsidRPr="008140F3">
        <w:rPr>
          <w:rFonts w:cs="Arial"/>
          <w:sz w:val="22"/>
          <w:szCs w:val="22"/>
        </w:rPr>
        <w:t>; alfombra roja +12€/m</w:t>
      </w:r>
      <w:r w:rsidRPr="008140F3">
        <w:rPr>
          <w:rFonts w:cs="Arial"/>
          <w:sz w:val="22"/>
          <w:szCs w:val="22"/>
          <w:vertAlign w:val="superscript"/>
        </w:rPr>
        <w:t>2</w:t>
      </w:r>
      <w:r w:rsidRPr="008140F3">
        <w:rPr>
          <w:rFonts w:cs="Arial"/>
          <w:sz w:val="22"/>
          <w:szCs w:val="22"/>
        </w:rPr>
        <w:t>; centro +6 €/m</w:t>
      </w:r>
      <w:r w:rsidRPr="008140F3">
        <w:rPr>
          <w:rFonts w:cs="Arial"/>
          <w:sz w:val="22"/>
          <w:szCs w:val="22"/>
          <w:vertAlign w:val="superscript"/>
        </w:rPr>
        <w:t>2</w:t>
      </w:r>
      <w:r w:rsidRPr="008140F3">
        <w:rPr>
          <w:rFonts w:cs="Arial"/>
          <w:sz w:val="22"/>
          <w:szCs w:val="22"/>
        </w:rPr>
        <w:t>)</w:t>
      </w:r>
      <w:r w:rsidR="00907965">
        <w:rPr>
          <w:rFonts w:cs="Arial"/>
          <w:sz w:val="22"/>
          <w:szCs w:val="22"/>
        </w:rPr>
        <w:t>.</w:t>
      </w:r>
    </w:p>
    <w:p w14:paraId="360CE0E0" w14:textId="77777777" w:rsidR="00907965" w:rsidRDefault="00907965" w:rsidP="00907965">
      <w:pPr>
        <w:spacing w:line="276" w:lineRule="auto"/>
        <w:ind w:left="851"/>
        <w:jc w:val="both"/>
        <w:rPr>
          <w:rFonts w:cs="Arial"/>
          <w:sz w:val="22"/>
          <w:szCs w:val="22"/>
        </w:rPr>
      </w:pPr>
    </w:p>
    <w:p w14:paraId="2420B480" w14:textId="6AAD001E" w:rsidR="004E40C2" w:rsidRPr="00907965" w:rsidRDefault="004E40C2" w:rsidP="008C7197">
      <w:pPr>
        <w:numPr>
          <w:ilvl w:val="0"/>
          <w:numId w:val="8"/>
        </w:numPr>
        <w:spacing w:line="276" w:lineRule="auto"/>
        <w:ind w:left="993" w:hanging="142"/>
        <w:jc w:val="both"/>
        <w:rPr>
          <w:rFonts w:cs="Arial"/>
          <w:b/>
          <w:sz w:val="22"/>
          <w:szCs w:val="22"/>
        </w:rPr>
      </w:pPr>
      <w:r w:rsidRPr="00907965">
        <w:rPr>
          <w:rFonts w:cs="Arial"/>
          <w:sz w:val="22"/>
          <w:szCs w:val="22"/>
        </w:rPr>
        <w:t>Paquete Expositor. Participación obligatoria en las actividades promocionales dirigidas a los visitantes. Incluye inserción de los datos de la empresa en el catálogo oficial de la feria y seguro obligatorio: 5</w:t>
      </w:r>
      <w:r w:rsidR="008140F3" w:rsidRPr="00907965">
        <w:rPr>
          <w:rFonts w:cs="Arial"/>
          <w:sz w:val="22"/>
          <w:szCs w:val="22"/>
        </w:rPr>
        <w:t>95</w:t>
      </w:r>
      <w:r w:rsidRPr="00907965">
        <w:rPr>
          <w:rFonts w:cs="Arial"/>
          <w:sz w:val="22"/>
          <w:szCs w:val="22"/>
        </w:rPr>
        <w:t xml:space="preserve"> € por empresa.</w:t>
      </w:r>
    </w:p>
    <w:p w14:paraId="17FDEBF8" w14:textId="77777777" w:rsidR="00931DA4" w:rsidRDefault="00931DA4">
      <w:pPr>
        <w:spacing w:after="160" w:line="259" w:lineRule="auto"/>
        <w:rPr>
          <w:rFonts w:cs="Arial"/>
          <w:b/>
          <w:sz w:val="22"/>
          <w:szCs w:val="22"/>
        </w:rPr>
      </w:pPr>
      <w:r>
        <w:rPr>
          <w:rFonts w:cs="Arial"/>
          <w:b/>
          <w:sz w:val="22"/>
          <w:szCs w:val="22"/>
        </w:rPr>
        <w:br w:type="page"/>
      </w:r>
    </w:p>
    <w:p w14:paraId="05B97567" w14:textId="77777777" w:rsidR="00931DA4" w:rsidRDefault="00931DA4" w:rsidP="004E40C2">
      <w:pPr>
        <w:jc w:val="both"/>
        <w:rPr>
          <w:rFonts w:cs="Arial"/>
          <w:b/>
          <w:sz w:val="22"/>
          <w:szCs w:val="22"/>
        </w:rPr>
      </w:pPr>
    </w:p>
    <w:p w14:paraId="15B952F1" w14:textId="035241F8" w:rsidR="004E40C2" w:rsidRPr="00C7506B" w:rsidRDefault="00ED23D9" w:rsidP="004E40C2">
      <w:pPr>
        <w:jc w:val="both"/>
        <w:rPr>
          <w:rFonts w:cs="Arial"/>
          <w:b/>
          <w:sz w:val="22"/>
          <w:szCs w:val="22"/>
        </w:rPr>
      </w:pPr>
      <w:r>
        <w:rPr>
          <w:rFonts w:cs="Arial"/>
          <w:b/>
          <w:sz w:val="22"/>
          <w:szCs w:val="22"/>
        </w:rPr>
        <w:t>APOYO</w:t>
      </w:r>
      <w:r w:rsidR="004E40C2">
        <w:rPr>
          <w:rFonts w:cs="Arial"/>
          <w:b/>
          <w:sz w:val="22"/>
          <w:szCs w:val="22"/>
        </w:rPr>
        <w:t xml:space="preserve"> </w:t>
      </w:r>
      <w:r w:rsidR="004E40C2" w:rsidRPr="00C7506B">
        <w:rPr>
          <w:rFonts w:cs="Arial"/>
          <w:b/>
          <w:sz w:val="22"/>
          <w:szCs w:val="22"/>
        </w:rPr>
        <w:t>ICEX</w:t>
      </w:r>
    </w:p>
    <w:p w14:paraId="01AFA31F" w14:textId="77777777" w:rsidR="004E40C2" w:rsidRPr="00C7506B" w:rsidRDefault="004E40C2" w:rsidP="004E40C2">
      <w:pPr>
        <w:jc w:val="both"/>
        <w:rPr>
          <w:rFonts w:cs="Arial"/>
          <w:b/>
          <w:sz w:val="22"/>
          <w:szCs w:val="22"/>
        </w:rPr>
      </w:pPr>
    </w:p>
    <w:p w14:paraId="03BF0491" w14:textId="290D103E" w:rsidR="00371673" w:rsidRDefault="004E40C2" w:rsidP="009546D3">
      <w:pPr>
        <w:pStyle w:val="Prrafodelista"/>
        <w:numPr>
          <w:ilvl w:val="0"/>
          <w:numId w:val="28"/>
        </w:numPr>
        <w:spacing w:line="276" w:lineRule="auto"/>
        <w:jc w:val="both"/>
        <w:rPr>
          <w:rFonts w:cs="Arial"/>
          <w:sz w:val="22"/>
          <w:szCs w:val="22"/>
        </w:rPr>
      </w:pPr>
      <w:r w:rsidRPr="00371673">
        <w:rPr>
          <w:rFonts w:cs="Arial"/>
          <w:sz w:val="22"/>
          <w:szCs w:val="22"/>
        </w:rPr>
        <w:t xml:space="preserve">El importe máximo de ayuda ICEX para esta actividad </w:t>
      </w:r>
      <w:r w:rsidR="00ED23D9" w:rsidRPr="00371673">
        <w:rPr>
          <w:rFonts w:cs="Arial"/>
          <w:sz w:val="22"/>
          <w:szCs w:val="22"/>
        </w:rPr>
        <w:t>es</w:t>
      </w:r>
      <w:r w:rsidRPr="00371673">
        <w:rPr>
          <w:rFonts w:cs="Arial"/>
          <w:sz w:val="22"/>
          <w:szCs w:val="22"/>
        </w:rPr>
        <w:t xml:space="preserve"> de </w:t>
      </w:r>
      <w:r w:rsidR="00C777D4" w:rsidRPr="00C777D4">
        <w:rPr>
          <w:rFonts w:cs="Arial"/>
          <w:sz w:val="22"/>
          <w:szCs w:val="22"/>
        </w:rPr>
        <w:t>185</w:t>
      </w:r>
      <w:r w:rsidRPr="00C777D4">
        <w:rPr>
          <w:rFonts w:cs="Arial"/>
          <w:sz w:val="22"/>
          <w:szCs w:val="22"/>
        </w:rPr>
        <w:t>.000 euros</w:t>
      </w:r>
      <w:r w:rsidR="009546D3">
        <w:rPr>
          <w:rFonts w:cs="Arial"/>
          <w:sz w:val="22"/>
          <w:szCs w:val="22"/>
        </w:rPr>
        <w:t xml:space="preserve">. </w:t>
      </w:r>
    </w:p>
    <w:p w14:paraId="23E2D4BF" w14:textId="77777777" w:rsidR="009546D3" w:rsidRPr="009546D3" w:rsidRDefault="009546D3" w:rsidP="009546D3">
      <w:pPr>
        <w:spacing w:line="276" w:lineRule="auto"/>
        <w:ind w:left="360"/>
        <w:jc w:val="both"/>
        <w:rPr>
          <w:rFonts w:cs="Arial"/>
          <w:sz w:val="22"/>
          <w:szCs w:val="22"/>
        </w:rPr>
      </w:pPr>
    </w:p>
    <w:p w14:paraId="521ED4D0" w14:textId="3A8BF79B" w:rsidR="00371673" w:rsidRDefault="00C777D4" w:rsidP="004E40C2">
      <w:pPr>
        <w:pStyle w:val="Prrafodelista"/>
        <w:numPr>
          <w:ilvl w:val="0"/>
          <w:numId w:val="28"/>
        </w:numPr>
        <w:spacing w:line="276" w:lineRule="auto"/>
        <w:jc w:val="both"/>
        <w:rPr>
          <w:rFonts w:cs="Arial"/>
          <w:sz w:val="22"/>
          <w:szCs w:val="22"/>
        </w:rPr>
      </w:pPr>
      <w:r>
        <w:rPr>
          <w:rFonts w:cs="Arial"/>
          <w:sz w:val="22"/>
          <w:szCs w:val="22"/>
        </w:rPr>
        <w:t>Los</w:t>
      </w:r>
      <w:r w:rsidR="00F74890" w:rsidRPr="00371673">
        <w:rPr>
          <w:rFonts w:cs="Arial"/>
          <w:sz w:val="22"/>
          <w:szCs w:val="22"/>
        </w:rPr>
        <w:t xml:space="preserve"> </w:t>
      </w:r>
      <w:r w:rsidR="00F74890" w:rsidRPr="00861D02">
        <w:rPr>
          <w:rFonts w:cs="Arial"/>
          <w:sz w:val="22"/>
          <w:szCs w:val="22"/>
        </w:rPr>
        <w:t>concepto</w:t>
      </w:r>
      <w:r>
        <w:rPr>
          <w:rFonts w:cs="Arial"/>
          <w:sz w:val="22"/>
          <w:szCs w:val="22"/>
        </w:rPr>
        <w:t>s</w:t>
      </w:r>
      <w:r w:rsidR="00F74890" w:rsidRPr="00861D02">
        <w:rPr>
          <w:rFonts w:cs="Arial"/>
          <w:sz w:val="22"/>
          <w:szCs w:val="22"/>
        </w:rPr>
        <w:t xml:space="preserve"> susceptible</w:t>
      </w:r>
      <w:r>
        <w:rPr>
          <w:rFonts w:cs="Arial"/>
          <w:sz w:val="22"/>
          <w:szCs w:val="22"/>
        </w:rPr>
        <w:t>s</w:t>
      </w:r>
      <w:r w:rsidR="00F74890" w:rsidRPr="00861D02">
        <w:rPr>
          <w:rFonts w:cs="Arial"/>
          <w:sz w:val="22"/>
          <w:szCs w:val="22"/>
        </w:rPr>
        <w:t xml:space="preserve"> de apoyo</w:t>
      </w:r>
      <w:r w:rsidR="00F74890" w:rsidRPr="00371673">
        <w:rPr>
          <w:rFonts w:cs="Arial"/>
          <w:sz w:val="22"/>
          <w:szCs w:val="22"/>
        </w:rPr>
        <w:t xml:space="preserve"> por parte de </w:t>
      </w:r>
      <w:r w:rsidR="00F74890" w:rsidRPr="00265248">
        <w:rPr>
          <w:rFonts w:cs="Arial"/>
          <w:sz w:val="22"/>
          <w:szCs w:val="22"/>
        </w:rPr>
        <w:t xml:space="preserve">ICEX </w:t>
      </w:r>
      <w:r>
        <w:rPr>
          <w:rFonts w:cs="Arial"/>
          <w:sz w:val="22"/>
          <w:szCs w:val="22"/>
        </w:rPr>
        <w:t xml:space="preserve">son </w:t>
      </w:r>
      <w:r w:rsidR="00F74890" w:rsidRPr="00265248">
        <w:rPr>
          <w:rFonts w:cs="Arial"/>
          <w:sz w:val="22"/>
          <w:szCs w:val="22"/>
        </w:rPr>
        <w:t xml:space="preserve">el </w:t>
      </w:r>
      <w:r w:rsidR="00F74890" w:rsidRPr="00EF0DC6">
        <w:rPr>
          <w:rFonts w:cs="Arial"/>
          <w:b/>
          <w:bCs/>
          <w:sz w:val="22"/>
          <w:szCs w:val="22"/>
        </w:rPr>
        <w:t>alquiler del espacio</w:t>
      </w:r>
      <w:r w:rsidRPr="00EF0DC6">
        <w:rPr>
          <w:rFonts w:cs="Arial"/>
          <w:b/>
          <w:bCs/>
          <w:sz w:val="22"/>
          <w:szCs w:val="22"/>
        </w:rPr>
        <w:t>,</w:t>
      </w:r>
      <w:r w:rsidR="00861D02" w:rsidRPr="00EF0DC6">
        <w:rPr>
          <w:rFonts w:cs="Arial"/>
          <w:b/>
          <w:bCs/>
          <w:sz w:val="22"/>
          <w:szCs w:val="22"/>
        </w:rPr>
        <w:t xml:space="preserve"> el </w:t>
      </w:r>
      <w:r w:rsidR="0095044F" w:rsidRPr="00EF0DC6">
        <w:rPr>
          <w:rFonts w:cs="Arial"/>
          <w:b/>
          <w:bCs/>
          <w:sz w:val="22"/>
          <w:szCs w:val="22"/>
        </w:rPr>
        <w:t>paquete expositor obligatorio</w:t>
      </w:r>
      <w:r w:rsidR="007614F8" w:rsidRPr="00EF0DC6">
        <w:rPr>
          <w:rFonts w:cs="Arial"/>
          <w:b/>
          <w:bCs/>
          <w:sz w:val="22"/>
          <w:szCs w:val="22"/>
        </w:rPr>
        <w:t xml:space="preserve"> y la </w:t>
      </w:r>
      <w:r w:rsidR="004114DD" w:rsidRPr="00EF0DC6">
        <w:rPr>
          <w:rFonts w:cs="Arial"/>
          <w:b/>
          <w:bCs/>
          <w:sz w:val="22"/>
          <w:szCs w:val="22"/>
        </w:rPr>
        <w:t xml:space="preserve">construcción y </w:t>
      </w:r>
      <w:r w:rsidR="007614F8" w:rsidRPr="00EF0DC6">
        <w:rPr>
          <w:rFonts w:cs="Arial"/>
          <w:b/>
          <w:bCs/>
          <w:sz w:val="22"/>
          <w:szCs w:val="22"/>
        </w:rPr>
        <w:t>decoración</w:t>
      </w:r>
      <w:r w:rsidRPr="00EF0DC6">
        <w:rPr>
          <w:rFonts w:cs="Arial"/>
          <w:b/>
          <w:bCs/>
          <w:sz w:val="22"/>
          <w:szCs w:val="22"/>
        </w:rPr>
        <w:t xml:space="preserve"> del stand</w:t>
      </w:r>
      <w:r w:rsidR="00EF0DC6">
        <w:rPr>
          <w:rFonts w:cs="Arial"/>
          <w:sz w:val="22"/>
          <w:szCs w:val="22"/>
        </w:rPr>
        <w:t xml:space="preserve"> </w:t>
      </w:r>
      <w:bookmarkStart w:id="1" w:name="_Hlk73523360"/>
      <w:r w:rsidR="00EF0DC6">
        <w:rPr>
          <w:rFonts w:cs="Arial"/>
          <w:sz w:val="22"/>
          <w:szCs w:val="22"/>
        </w:rPr>
        <w:t>(con un tope de 200€/m</w:t>
      </w:r>
      <w:r w:rsidR="00EF0DC6" w:rsidRPr="00EF0DC6">
        <w:rPr>
          <w:rFonts w:cs="Arial"/>
          <w:sz w:val="22"/>
          <w:szCs w:val="22"/>
          <w:vertAlign w:val="superscript"/>
        </w:rPr>
        <w:t>2</w:t>
      </w:r>
      <w:r w:rsidR="00EF0DC6">
        <w:rPr>
          <w:rFonts w:cs="Arial"/>
          <w:sz w:val="22"/>
          <w:szCs w:val="22"/>
        </w:rPr>
        <w:t>)</w:t>
      </w:r>
      <w:r w:rsidR="007614F8">
        <w:rPr>
          <w:rFonts w:cs="Arial"/>
          <w:sz w:val="22"/>
          <w:szCs w:val="22"/>
        </w:rPr>
        <w:t>.</w:t>
      </w:r>
    </w:p>
    <w:bookmarkEnd w:id="1"/>
    <w:p w14:paraId="03D71ADD" w14:textId="77777777" w:rsidR="00371673" w:rsidRPr="00371673" w:rsidRDefault="00371673" w:rsidP="00371673">
      <w:pPr>
        <w:spacing w:line="276" w:lineRule="auto"/>
        <w:jc w:val="both"/>
        <w:rPr>
          <w:rFonts w:cs="Arial"/>
          <w:sz w:val="22"/>
          <w:szCs w:val="22"/>
        </w:rPr>
      </w:pPr>
    </w:p>
    <w:p w14:paraId="6E2E47F4" w14:textId="7C33D7D8" w:rsidR="004E40C2" w:rsidRPr="00371673" w:rsidRDefault="00830A66" w:rsidP="004E40C2">
      <w:pPr>
        <w:pStyle w:val="Prrafodelista"/>
        <w:numPr>
          <w:ilvl w:val="0"/>
          <w:numId w:val="28"/>
        </w:numPr>
        <w:spacing w:line="276" w:lineRule="auto"/>
        <w:jc w:val="both"/>
        <w:rPr>
          <w:rFonts w:cs="Arial"/>
          <w:sz w:val="22"/>
          <w:szCs w:val="22"/>
        </w:rPr>
      </w:pPr>
      <w:r>
        <w:rPr>
          <w:rFonts w:cs="Arial"/>
          <w:sz w:val="22"/>
          <w:szCs w:val="22"/>
        </w:rPr>
        <w:t xml:space="preserve">El porcentaje general de apoyo será de </w:t>
      </w:r>
      <w:r w:rsidR="00A9364C">
        <w:rPr>
          <w:rFonts w:cs="Arial"/>
          <w:sz w:val="22"/>
          <w:szCs w:val="22"/>
        </w:rPr>
        <w:t xml:space="preserve">un máximo del </w:t>
      </w:r>
      <w:r>
        <w:rPr>
          <w:rFonts w:cs="Arial"/>
          <w:sz w:val="22"/>
          <w:szCs w:val="22"/>
        </w:rPr>
        <w:t>20%, pudiendo éste variar en función de las veces que la empresa haya recibido ayuda ICEX en anteriores ediciones</w:t>
      </w:r>
      <w:r w:rsidRPr="00103C74">
        <w:rPr>
          <w:rFonts w:cs="Arial"/>
          <w:sz w:val="22"/>
          <w:szCs w:val="22"/>
        </w:rPr>
        <w:t xml:space="preserve"> </w:t>
      </w:r>
      <w:r>
        <w:rPr>
          <w:rFonts w:cs="Arial"/>
          <w:sz w:val="22"/>
          <w:szCs w:val="22"/>
        </w:rPr>
        <w:t>de esta feria, según se recoge en el apartado 4 (Temporalidad) de las condiciones de participación adjuntas</w:t>
      </w:r>
      <w:r w:rsidR="00A9364C">
        <w:rPr>
          <w:rFonts w:cs="Arial"/>
          <w:sz w:val="22"/>
          <w:szCs w:val="22"/>
        </w:rPr>
        <w:t>.</w:t>
      </w:r>
    </w:p>
    <w:p w14:paraId="008B5A46" w14:textId="77777777" w:rsidR="004E40C2" w:rsidRPr="00C7506B" w:rsidRDefault="004E40C2" w:rsidP="004E40C2">
      <w:pPr>
        <w:jc w:val="both"/>
        <w:rPr>
          <w:rFonts w:cs="Arial"/>
          <w:sz w:val="22"/>
          <w:szCs w:val="22"/>
        </w:rPr>
      </w:pPr>
    </w:p>
    <w:p w14:paraId="35583DE0" w14:textId="77777777" w:rsidR="00371673" w:rsidRDefault="00BA1F30" w:rsidP="004E40C2">
      <w:pPr>
        <w:pStyle w:val="Prrafodelista"/>
        <w:numPr>
          <w:ilvl w:val="0"/>
          <w:numId w:val="29"/>
        </w:numPr>
        <w:spacing w:line="276" w:lineRule="auto"/>
        <w:jc w:val="both"/>
        <w:rPr>
          <w:rFonts w:cs="Arial"/>
          <w:sz w:val="22"/>
          <w:szCs w:val="22"/>
        </w:rPr>
      </w:pPr>
      <w:r w:rsidRPr="00371673">
        <w:rPr>
          <w:rFonts w:cs="Arial"/>
          <w:sz w:val="22"/>
          <w:szCs w:val="22"/>
        </w:rPr>
        <w:t>ANIEME cobrará el</w:t>
      </w:r>
      <w:r w:rsidR="004E40C2" w:rsidRPr="00371673">
        <w:rPr>
          <w:rFonts w:cs="Arial"/>
          <w:sz w:val="22"/>
          <w:szCs w:val="22"/>
        </w:rPr>
        <w:t xml:space="preserve"> 15% de la ayuda concedida por ICEX a </w:t>
      </w:r>
      <w:r w:rsidR="005274FB" w:rsidRPr="00371673">
        <w:rPr>
          <w:rFonts w:cs="Arial"/>
          <w:sz w:val="22"/>
          <w:szCs w:val="22"/>
        </w:rPr>
        <w:t xml:space="preserve">todas </w:t>
      </w:r>
      <w:r w:rsidR="004E40C2" w:rsidRPr="00371673">
        <w:rPr>
          <w:rFonts w:cs="Arial"/>
          <w:sz w:val="22"/>
          <w:szCs w:val="22"/>
        </w:rPr>
        <w:t>las empresas</w:t>
      </w:r>
      <w:r w:rsidR="006D2FAE" w:rsidRPr="00371673">
        <w:rPr>
          <w:rFonts w:cs="Arial"/>
          <w:sz w:val="22"/>
          <w:szCs w:val="22"/>
        </w:rPr>
        <w:t>, sean o no socios de ANIEME,</w:t>
      </w:r>
      <w:r w:rsidR="004E40C2" w:rsidRPr="00371673">
        <w:rPr>
          <w:rFonts w:cs="Arial"/>
          <w:sz w:val="22"/>
          <w:szCs w:val="22"/>
        </w:rPr>
        <w:t xml:space="preserve"> en concepto de gestión de la ayuda ICEX. El cobro de dicho 15% a todas las empresas se llevará a cabo una vez liquidada la ayuda por parte de ICEX.</w:t>
      </w:r>
    </w:p>
    <w:p w14:paraId="154A86F4" w14:textId="77777777" w:rsidR="00371673" w:rsidRPr="004B72B6" w:rsidRDefault="00371673" w:rsidP="00371673">
      <w:pPr>
        <w:spacing w:line="276" w:lineRule="auto"/>
        <w:jc w:val="both"/>
        <w:rPr>
          <w:rFonts w:cs="Arial"/>
          <w:sz w:val="18"/>
          <w:szCs w:val="18"/>
        </w:rPr>
      </w:pPr>
    </w:p>
    <w:p w14:paraId="67280A8A" w14:textId="2975B7D6" w:rsidR="009319E4" w:rsidRDefault="004E40C2" w:rsidP="004E40C2">
      <w:pPr>
        <w:pStyle w:val="Prrafodelista"/>
        <w:numPr>
          <w:ilvl w:val="0"/>
          <w:numId w:val="29"/>
        </w:numPr>
        <w:spacing w:line="276" w:lineRule="auto"/>
        <w:jc w:val="both"/>
        <w:rPr>
          <w:rFonts w:cs="Arial"/>
          <w:sz w:val="22"/>
          <w:szCs w:val="22"/>
        </w:rPr>
      </w:pPr>
      <w:r w:rsidRPr="00371673">
        <w:rPr>
          <w:rFonts w:cs="Arial"/>
          <w:sz w:val="22"/>
          <w:szCs w:val="22"/>
        </w:rPr>
        <w:t>La persona de contacto en ICEX Madrid para ampliar información es Adelaida Sanchis-Bayarri</w:t>
      </w:r>
      <w:r w:rsidR="0039092F">
        <w:rPr>
          <w:rFonts w:cs="Arial"/>
          <w:sz w:val="22"/>
          <w:szCs w:val="22"/>
        </w:rPr>
        <w:t xml:space="preserve"> (</w:t>
      </w:r>
      <w:hyperlink r:id="rId8" w:history="1">
        <w:r w:rsidR="0039092F" w:rsidRPr="008C28AA">
          <w:rPr>
            <w:rStyle w:val="Hipervnculo"/>
            <w:rFonts w:cs="Arial"/>
            <w:sz w:val="22"/>
            <w:szCs w:val="22"/>
          </w:rPr>
          <w:t>adelaida.sanchis@icex.es</w:t>
        </w:r>
      </w:hyperlink>
      <w:r w:rsidRPr="00371673">
        <w:rPr>
          <w:rFonts w:cs="Arial"/>
          <w:sz w:val="22"/>
          <w:szCs w:val="22"/>
        </w:rPr>
        <w:t xml:space="preserve"> </w:t>
      </w:r>
      <w:r w:rsidR="0039092F">
        <w:rPr>
          <w:rFonts w:cs="Arial"/>
          <w:sz w:val="22"/>
          <w:szCs w:val="22"/>
        </w:rPr>
        <w:t>/ 9</w:t>
      </w:r>
      <w:r w:rsidRPr="00371673">
        <w:rPr>
          <w:rFonts w:cs="Arial"/>
          <w:sz w:val="22"/>
          <w:szCs w:val="22"/>
        </w:rPr>
        <w:t>1-349 62 58</w:t>
      </w:r>
      <w:r w:rsidR="0039092F">
        <w:rPr>
          <w:rFonts w:cs="Arial"/>
          <w:sz w:val="22"/>
          <w:szCs w:val="22"/>
        </w:rPr>
        <w:t>)</w:t>
      </w:r>
      <w:r w:rsidRPr="00371673">
        <w:rPr>
          <w:rFonts w:cs="Arial"/>
          <w:sz w:val="22"/>
          <w:szCs w:val="22"/>
        </w:rPr>
        <w:t>.</w:t>
      </w:r>
    </w:p>
    <w:p w14:paraId="0629506A" w14:textId="77777777" w:rsidR="009319E4" w:rsidRPr="004B72B6" w:rsidRDefault="009319E4" w:rsidP="009319E4">
      <w:pPr>
        <w:spacing w:line="276" w:lineRule="auto"/>
        <w:jc w:val="both"/>
        <w:rPr>
          <w:rFonts w:cs="Arial"/>
          <w:sz w:val="18"/>
          <w:szCs w:val="18"/>
        </w:rPr>
      </w:pPr>
    </w:p>
    <w:p w14:paraId="2BE3F0FC" w14:textId="7DC0028B" w:rsidR="00EA53F5" w:rsidRPr="00EB64D7" w:rsidRDefault="004E40C2" w:rsidP="004E40C2">
      <w:pPr>
        <w:pStyle w:val="Prrafodelista"/>
        <w:numPr>
          <w:ilvl w:val="0"/>
          <w:numId w:val="29"/>
        </w:numPr>
        <w:spacing w:line="276" w:lineRule="auto"/>
        <w:jc w:val="both"/>
        <w:rPr>
          <w:rFonts w:cs="Arial"/>
          <w:sz w:val="22"/>
          <w:szCs w:val="22"/>
        </w:rPr>
      </w:pPr>
      <w:r w:rsidRPr="009319E4">
        <w:rPr>
          <w:rFonts w:cs="Arial"/>
          <w:sz w:val="22"/>
          <w:szCs w:val="22"/>
          <w:lang w:val="es-ES_tradnl"/>
        </w:rPr>
        <w:t xml:space="preserve">Para la inclusión de las beneficiaras en la ayuda, se seguirá de forma rigurosa el </w:t>
      </w:r>
      <w:r w:rsidRPr="00EB64D7">
        <w:rPr>
          <w:rFonts w:cs="Arial"/>
          <w:b/>
          <w:sz w:val="22"/>
          <w:szCs w:val="22"/>
          <w:lang w:val="es-ES_tradnl"/>
        </w:rPr>
        <w:t xml:space="preserve">criterio de orden de recepción de la ficha de inscripción de las empresas. Las </w:t>
      </w:r>
      <w:r w:rsidR="00555525">
        <w:rPr>
          <w:rFonts w:cs="Arial"/>
          <w:b/>
          <w:sz w:val="22"/>
          <w:szCs w:val="22"/>
          <w:lang w:val="es-ES_tradnl"/>
        </w:rPr>
        <w:t>firmas</w:t>
      </w:r>
      <w:r w:rsidRPr="00EB64D7">
        <w:rPr>
          <w:rFonts w:cs="Arial"/>
          <w:b/>
          <w:sz w:val="22"/>
          <w:szCs w:val="22"/>
          <w:lang w:val="es-ES_tradnl"/>
        </w:rPr>
        <w:t xml:space="preserve"> solicitantes serán </w:t>
      </w:r>
      <w:bookmarkStart w:id="2" w:name="_Hlk532225230"/>
      <w:r w:rsidR="00EA53F5" w:rsidRPr="00EB64D7">
        <w:rPr>
          <w:rFonts w:cs="Arial"/>
          <w:b/>
          <w:sz w:val="22"/>
          <w:szCs w:val="22"/>
          <w:lang w:val="es-ES_tradnl"/>
        </w:rPr>
        <w:t>e</w:t>
      </w:r>
      <w:r w:rsidR="00EA53F5" w:rsidRPr="00EB64D7">
        <w:rPr>
          <w:rFonts w:cs="Arial"/>
          <w:b/>
          <w:bCs/>
          <w:sz w:val="22"/>
          <w:szCs w:val="22"/>
          <w:lang w:val="es-ES_tradnl"/>
        </w:rPr>
        <w:t>mpresas de mobiliario de hogar</w:t>
      </w:r>
      <w:r w:rsidR="009D432A">
        <w:rPr>
          <w:rFonts w:cs="Arial"/>
          <w:b/>
          <w:bCs/>
          <w:sz w:val="22"/>
          <w:szCs w:val="22"/>
          <w:lang w:val="es-ES_tradnl"/>
        </w:rPr>
        <w:t xml:space="preserve">, </w:t>
      </w:r>
      <w:r w:rsidR="00EE699D" w:rsidRPr="00EB64D7">
        <w:rPr>
          <w:rFonts w:cs="Arial"/>
          <w:b/>
          <w:bCs/>
          <w:sz w:val="22"/>
          <w:szCs w:val="22"/>
          <w:lang w:val="es-ES_tradnl"/>
        </w:rPr>
        <w:t>de</w:t>
      </w:r>
      <w:r w:rsidR="00EA53F5" w:rsidRPr="00EB64D7">
        <w:rPr>
          <w:rFonts w:cs="Arial"/>
          <w:b/>
          <w:bCs/>
          <w:sz w:val="22"/>
          <w:szCs w:val="22"/>
          <w:lang w:val="es-ES_tradnl"/>
        </w:rPr>
        <w:t xml:space="preserve"> artículos de decoración</w:t>
      </w:r>
      <w:r w:rsidR="00EE699D" w:rsidRPr="00EB64D7">
        <w:rPr>
          <w:rFonts w:cs="Arial"/>
          <w:b/>
          <w:bCs/>
          <w:sz w:val="22"/>
          <w:szCs w:val="22"/>
          <w:lang w:val="es-ES_tradnl"/>
        </w:rPr>
        <w:t xml:space="preserve"> que incluyan </w:t>
      </w:r>
      <w:r w:rsidR="00014E83">
        <w:rPr>
          <w:rFonts w:cs="Arial"/>
          <w:b/>
          <w:bCs/>
          <w:sz w:val="22"/>
          <w:szCs w:val="22"/>
          <w:lang w:val="es-ES_tradnl"/>
        </w:rPr>
        <w:t xml:space="preserve">piezas de </w:t>
      </w:r>
      <w:r w:rsidR="00EE699D" w:rsidRPr="00EB64D7">
        <w:rPr>
          <w:rFonts w:cs="Arial"/>
          <w:b/>
          <w:bCs/>
          <w:sz w:val="22"/>
          <w:szCs w:val="22"/>
          <w:lang w:val="es-ES_tradnl"/>
        </w:rPr>
        <w:t>mobiliario</w:t>
      </w:r>
      <w:r w:rsidR="009D432A">
        <w:rPr>
          <w:rFonts w:cs="Arial"/>
          <w:b/>
          <w:bCs/>
          <w:sz w:val="22"/>
          <w:szCs w:val="22"/>
          <w:lang w:val="es-ES_tradnl"/>
        </w:rPr>
        <w:t xml:space="preserve">, </w:t>
      </w:r>
      <w:r w:rsidR="009D432A" w:rsidRPr="00EB64D7">
        <w:rPr>
          <w:rFonts w:cs="Arial"/>
          <w:b/>
          <w:bCs/>
          <w:sz w:val="22"/>
          <w:szCs w:val="22"/>
          <w:lang w:val="es-ES_tradnl"/>
        </w:rPr>
        <w:t>empresas de iluminación y del sector textil</w:t>
      </w:r>
      <w:r w:rsidR="00EA53F5" w:rsidRPr="00EB64D7">
        <w:rPr>
          <w:rFonts w:cs="Arial"/>
          <w:b/>
          <w:bCs/>
          <w:sz w:val="22"/>
          <w:szCs w:val="22"/>
          <w:lang w:val="es-ES_tradnl"/>
        </w:rPr>
        <w:t>.</w:t>
      </w:r>
      <w:r w:rsidR="00EA53F5" w:rsidRPr="00EB64D7">
        <w:rPr>
          <w:rFonts w:cs="Arial"/>
          <w:sz w:val="22"/>
          <w:szCs w:val="22"/>
          <w:lang w:val="es-ES_tradnl"/>
        </w:rPr>
        <w:t xml:space="preserve"> </w:t>
      </w:r>
      <w:r w:rsidR="00EA53F5" w:rsidRPr="00EB64D7">
        <w:rPr>
          <w:rFonts w:cs="Arial"/>
          <w:b/>
          <w:bCs/>
          <w:sz w:val="22"/>
          <w:szCs w:val="22"/>
          <w:lang w:val="es-ES_tradnl"/>
        </w:rPr>
        <w:t>Quedan excluidas las empresas que se dediquen exclusivamente a los artículos de decoración y accesorios</w:t>
      </w:r>
      <w:r w:rsidR="005A684F">
        <w:rPr>
          <w:rFonts w:cs="Arial"/>
          <w:b/>
          <w:bCs/>
          <w:sz w:val="22"/>
          <w:szCs w:val="22"/>
          <w:lang w:val="es-ES_tradnl"/>
        </w:rPr>
        <w:t xml:space="preserve"> y las pertenecientes a otros sectores</w:t>
      </w:r>
      <w:r w:rsidR="00EA53F5" w:rsidRPr="00EB64D7">
        <w:rPr>
          <w:rFonts w:cs="Arial"/>
          <w:sz w:val="22"/>
          <w:szCs w:val="22"/>
          <w:lang w:val="es-ES_tradnl"/>
        </w:rPr>
        <w:t>.</w:t>
      </w:r>
    </w:p>
    <w:p w14:paraId="62A0CF8F" w14:textId="77777777" w:rsidR="00EA53F5" w:rsidRPr="009546D3" w:rsidRDefault="00EA53F5" w:rsidP="00EA53F5">
      <w:pPr>
        <w:pStyle w:val="Prrafodelista"/>
        <w:rPr>
          <w:rFonts w:cs="Arial"/>
          <w:b/>
          <w:sz w:val="22"/>
          <w:szCs w:val="22"/>
          <w:u w:val="single"/>
          <w:lang w:val="es-ES_tradnl"/>
        </w:rPr>
      </w:pPr>
    </w:p>
    <w:bookmarkEnd w:id="2"/>
    <w:p w14:paraId="1CC81707" w14:textId="375AE644" w:rsidR="00CF1FDA" w:rsidRDefault="004E40C2" w:rsidP="004E40C2">
      <w:pPr>
        <w:spacing w:line="276" w:lineRule="auto"/>
        <w:jc w:val="both"/>
        <w:rPr>
          <w:rFonts w:cs="Arial"/>
          <w:bCs/>
          <w:sz w:val="22"/>
          <w:szCs w:val="22"/>
        </w:rPr>
      </w:pPr>
      <w:r w:rsidRPr="00C7506B">
        <w:rPr>
          <w:rFonts w:cs="Arial"/>
          <w:sz w:val="22"/>
          <w:szCs w:val="22"/>
        </w:rPr>
        <w:t xml:space="preserve">Tan pronto recibamos la solicitud por parte de la empresa expositora le haremos llegar información adicional y comenzaremos las gestiones relacionadas con la coordinación de la participación agrupada española en esta feria. </w:t>
      </w:r>
      <w:r w:rsidRPr="00CB54F7">
        <w:rPr>
          <w:rFonts w:cs="Arial"/>
          <w:b/>
          <w:sz w:val="22"/>
          <w:szCs w:val="22"/>
        </w:rPr>
        <w:t>La</w:t>
      </w:r>
      <w:r w:rsidRPr="00B90848">
        <w:rPr>
          <w:rFonts w:cs="Arial"/>
          <w:sz w:val="22"/>
          <w:szCs w:val="22"/>
        </w:rPr>
        <w:t xml:space="preserve"> </w:t>
      </w:r>
      <w:r w:rsidRPr="00B90848">
        <w:rPr>
          <w:rFonts w:cs="Arial"/>
          <w:b/>
          <w:sz w:val="22"/>
          <w:szCs w:val="22"/>
        </w:rPr>
        <w:t xml:space="preserve">fecha límite de recepción </w:t>
      </w:r>
      <w:r w:rsidR="008A239F">
        <w:rPr>
          <w:rFonts w:cs="Arial"/>
          <w:b/>
          <w:sz w:val="22"/>
          <w:szCs w:val="22"/>
        </w:rPr>
        <w:t xml:space="preserve">de la ficha de inscripción </w:t>
      </w:r>
      <w:r w:rsidRPr="00B90848">
        <w:rPr>
          <w:rFonts w:cs="Arial"/>
          <w:b/>
          <w:sz w:val="22"/>
          <w:szCs w:val="22"/>
        </w:rPr>
        <w:t xml:space="preserve">será </w:t>
      </w:r>
      <w:r w:rsidR="00B90848" w:rsidRPr="00B90848">
        <w:rPr>
          <w:rFonts w:cs="Arial"/>
          <w:b/>
          <w:sz w:val="22"/>
          <w:szCs w:val="22"/>
        </w:rPr>
        <w:t xml:space="preserve">el </w:t>
      </w:r>
      <w:r w:rsidR="00CF1FDA">
        <w:rPr>
          <w:rFonts w:cs="Arial"/>
          <w:b/>
          <w:sz w:val="22"/>
          <w:szCs w:val="22"/>
        </w:rPr>
        <w:t xml:space="preserve">próximo </w:t>
      </w:r>
      <w:r w:rsidR="003464B4">
        <w:rPr>
          <w:rFonts w:cs="Arial"/>
          <w:b/>
          <w:sz w:val="22"/>
          <w:szCs w:val="22"/>
          <w:highlight w:val="yellow"/>
        </w:rPr>
        <w:t>12</w:t>
      </w:r>
      <w:r w:rsidR="00B90848" w:rsidRPr="00CB54F7">
        <w:rPr>
          <w:rFonts w:cs="Arial"/>
          <w:b/>
          <w:sz w:val="22"/>
          <w:szCs w:val="22"/>
          <w:highlight w:val="yellow"/>
        </w:rPr>
        <w:t xml:space="preserve"> de </w:t>
      </w:r>
      <w:r w:rsidR="00751A05" w:rsidRPr="00CF1FDA">
        <w:rPr>
          <w:rFonts w:cs="Arial"/>
          <w:b/>
          <w:sz w:val="22"/>
          <w:szCs w:val="22"/>
          <w:highlight w:val="yellow"/>
        </w:rPr>
        <w:t>julio</w:t>
      </w:r>
      <w:r w:rsidR="00CF1FDA" w:rsidRPr="00CF1FDA">
        <w:rPr>
          <w:rFonts w:cs="Arial"/>
          <w:b/>
          <w:sz w:val="22"/>
          <w:szCs w:val="22"/>
          <w:highlight w:val="yellow"/>
        </w:rPr>
        <w:t xml:space="preserve"> de 202</w:t>
      </w:r>
      <w:r w:rsidR="003464B4" w:rsidRPr="003464B4">
        <w:rPr>
          <w:rFonts w:cs="Arial"/>
          <w:b/>
          <w:sz w:val="22"/>
          <w:szCs w:val="22"/>
          <w:highlight w:val="yellow"/>
        </w:rPr>
        <w:t>1</w:t>
      </w:r>
      <w:r w:rsidR="00CF1FDA" w:rsidRPr="00CF1FDA">
        <w:rPr>
          <w:rFonts w:cs="Arial"/>
          <w:bCs/>
          <w:sz w:val="22"/>
          <w:szCs w:val="22"/>
        </w:rPr>
        <w:t>.</w:t>
      </w:r>
    </w:p>
    <w:p w14:paraId="353D3A8B" w14:textId="77777777" w:rsidR="00CF1FDA" w:rsidRDefault="00CF1FDA" w:rsidP="004E40C2">
      <w:pPr>
        <w:spacing w:line="276" w:lineRule="auto"/>
        <w:jc w:val="both"/>
        <w:rPr>
          <w:rFonts w:cs="Arial"/>
          <w:sz w:val="22"/>
          <w:szCs w:val="22"/>
        </w:rPr>
      </w:pPr>
    </w:p>
    <w:p w14:paraId="797568E0" w14:textId="3D915775" w:rsidR="00CF1FDA" w:rsidRDefault="00CF1FDA" w:rsidP="004E40C2">
      <w:pPr>
        <w:spacing w:line="276" w:lineRule="auto"/>
        <w:jc w:val="both"/>
        <w:rPr>
          <w:rFonts w:cs="Arial"/>
          <w:bCs/>
          <w:sz w:val="22"/>
          <w:szCs w:val="22"/>
        </w:rPr>
      </w:pPr>
      <w:r>
        <w:rPr>
          <w:rFonts w:cs="Arial"/>
          <w:sz w:val="22"/>
          <w:szCs w:val="22"/>
        </w:rPr>
        <w:t>Señalar, por último</w:t>
      </w:r>
      <w:r w:rsidRPr="00E35E62">
        <w:rPr>
          <w:rFonts w:cs="Arial"/>
          <w:sz w:val="22"/>
          <w:szCs w:val="22"/>
        </w:rPr>
        <w:t xml:space="preserve">, </w:t>
      </w:r>
      <w:r>
        <w:rPr>
          <w:rFonts w:cs="Arial"/>
          <w:sz w:val="22"/>
          <w:szCs w:val="22"/>
        </w:rPr>
        <w:t xml:space="preserve">que </w:t>
      </w:r>
      <w:r w:rsidRPr="00E35E62">
        <w:rPr>
          <w:rFonts w:cs="Arial"/>
          <w:sz w:val="22"/>
          <w:szCs w:val="22"/>
        </w:rPr>
        <w:t>la presente convocatoria que ANIEME organiza</w:t>
      </w:r>
      <w:r>
        <w:rPr>
          <w:rFonts w:cs="Arial"/>
          <w:sz w:val="22"/>
          <w:szCs w:val="22"/>
        </w:rPr>
        <w:t>da</w:t>
      </w:r>
      <w:r w:rsidRPr="00E35E62">
        <w:rPr>
          <w:rFonts w:cs="Arial"/>
          <w:sz w:val="22"/>
          <w:szCs w:val="22"/>
        </w:rPr>
        <w:t xml:space="preserve"> con apoyo de ICEX España Exportación e Inversiones ha sido aprobada en la Resolución de la Consejera Delegada de </w:t>
      </w:r>
      <w:r w:rsidRPr="0052574D">
        <w:rPr>
          <w:rFonts w:cs="Arial"/>
          <w:sz w:val="22"/>
          <w:szCs w:val="22"/>
        </w:rPr>
        <w:t>fecha 2</w:t>
      </w:r>
      <w:r w:rsidR="0036678B">
        <w:rPr>
          <w:rFonts w:cs="Arial"/>
          <w:sz w:val="22"/>
          <w:szCs w:val="22"/>
        </w:rPr>
        <w:t>5</w:t>
      </w:r>
      <w:r w:rsidRPr="0052574D">
        <w:rPr>
          <w:rFonts w:cs="Arial"/>
          <w:sz w:val="22"/>
          <w:szCs w:val="22"/>
        </w:rPr>
        <w:t xml:space="preserve"> de </w:t>
      </w:r>
      <w:r>
        <w:rPr>
          <w:rFonts w:cs="Arial"/>
          <w:sz w:val="22"/>
          <w:szCs w:val="22"/>
        </w:rPr>
        <w:t>junio</w:t>
      </w:r>
      <w:r w:rsidRPr="0052574D">
        <w:rPr>
          <w:rFonts w:cs="Arial"/>
          <w:sz w:val="22"/>
          <w:szCs w:val="22"/>
        </w:rPr>
        <w:t xml:space="preserve"> de 202</w:t>
      </w:r>
      <w:r w:rsidR="00BD58EE">
        <w:rPr>
          <w:rFonts w:cs="Arial"/>
          <w:sz w:val="22"/>
          <w:szCs w:val="22"/>
        </w:rPr>
        <w:t>1</w:t>
      </w:r>
      <w:r>
        <w:rPr>
          <w:rFonts w:cs="Arial"/>
          <w:sz w:val="22"/>
          <w:szCs w:val="22"/>
        </w:rPr>
        <w:t>.</w:t>
      </w:r>
    </w:p>
    <w:p w14:paraId="065F61F7" w14:textId="77777777" w:rsidR="00CF1FDA" w:rsidRDefault="00CF1FDA" w:rsidP="004E40C2">
      <w:pPr>
        <w:spacing w:line="276" w:lineRule="auto"/>
        <w:jc w:val="both"/>
        <w:rPr>
          <w:rFonts w:cs="Arial"/>
          <w:bCs/>
          <w:sz w:val="22"/>
          <w:szCs w:val="22"/>
        </w:rPr>
      </w:pPr>
    </w:p>
    <w:p w14:paraId="148C85D2" w14:textId="7390FFDB" w:rsidR="004E40C2" w:rsidRPr="00C7506B" w:rsidRDefault="004E40C2" w:rsidP="004E40C2">
      <w:pPr>
        <w:spacing w:line="276" w:lineRule="auto"/>
        <w:jc w:val="both"/>
        <w:rPr>
          <w:rFonts w:cs="Arial"/>
          <w:sz w:val="22"/>
          <w:szCs w:val="22"/>
        </w:rPr>
      </w:pPr>
      <w:r w:rsidRPr="00C7506B">
        <w:rPr>
          <w:rFonts w:cs="Arial"/>
          <w:sz w:val="22"/>
          <w:szCs w:val="22"/>
        </w:rPr>
        <w:t xml:space="preserve">No dudes en contactar con nosotros si necesitas cualquier información adicional. </w:t>
      </w:r>
    </w:p>
    <w:p w14:paraId="6DF67605" w14:textId="77777777" w:rsidR="004E40C2" w:rsidRPr="00C7506B" w:rsidRDefault="004E40C2" w:rsidP="004E40C2">
      <w:pPr>
        <w:spacing w:line="276" w:lineRule="auto"/>
        <w:jc w:val="both"/>
        <w:rPr>
          <w:rFonts w:cs="Arial"/>
          <w:sz w:val="22"/>
          <w:szCs w:val="22"/>
        </w:rPr>
      </w:pPr>
    </w:p>
    <w:p w14:paraId="18B74F82" w14:textId="0AA7BD04" w:rsidR="004E40C2" w:rsidRDefault="004E40C2" w:rsidP="004E40C2">
      <w:pPr>
        <w:spacing w:line="276" w:lineRule="auto"/>
        <w:jc w:val="both"/>
        <w:rPr>
          <w:rFonts w:cs="Arial"/>
          <w:sz w:val="22"/>
          <w:szCs w:val="22"/>
        </w:rPr>
      </w:pPr>
      <w:r w:rsidRPr="00C7506B">
        <w:rPr>
          <w:rFonts w:cs="Arial"/>
          <w:sz w:val="22"/>
          <w:szCs w:val="22"/>
        </w:rPr>
        <w:t>Un cordial saludo,</w:t>
      </w:r>
    </w:p>
    <w:p w14:paraId="4352D7E6" w14:textId="77777777" w:rsidR="00CF1FDA" w:rsidRDefault="00CF1FDA" w:rsidP="004F03D8">
      <w:pPr>
        <w:autoSpaceDE w:val="0"/>
        <w:autoSpaceDN w:val="0"/>
        <w:adjustRightInd w:val="0"/>
        <w:jc w:val="both"/>
        <w:rPr>
          <w:rFonts w:cs="Arial"/>
          <w:sz w:val="22"/>
          <w:szCs w:val="22"/>
        </w:rPr>
      </w:pPr>
    </w:p>
    <w:p w14:paraId="6D6BE3A1" w14:textId="77777777" w:rsidR="00CF1FDA" w:rsidRDefault="00CF1FDA" w:rsidP="004F03D8">
      <w:pPr>
        <w:autoSpaceDE w:val="0"/>
        <w:autoSpaceDN w:val="0"/>
        <w:adjustRightInd w:val="0"/>
        <w:jc w:val="both"/>
        <w:rPr>
          <w:rFonts w:cs="Arial"/>
          <w:sz w:val="22"/>
          <w:szCs w:val="22"/>
        </w:rPr>
      </w:pPr>
    </w:p>
    <w:p w14:paraId="30D88973" w14:textId="77777777" w:rsidR="00CF1FDA" w:rsidRDefault="00CF1FDA" w:rsidP="004F03D8">
      <w:pPr>
        <w:autoSpaceDE w:val="0"/>
        <w:autoSpaceDN w:val="0"/>
        <w:adjustRightInd w:val="0"/>
        <w:jc w:val="both"/>
        <w:rPr>
          <w:rFonts w:cs="Arial"/>
          <w:sz w:val="22"/>
          <w:szCs w:val="22"/>
        </w:rPr>
      </w:pPr>
    </w:p>
    <w:p w14:paraId="0796B747" w14:textId="22CD162D" w:rsidR="00FC34C5" w:rsidRPr="00567E6D" w:rsidRDefault="004E40C2" w:rsidP="004F03D8">
      <w:pPr>
        <w:autoSpaceDE w:val="0"/>
        <w:autoSpaceDN w:val="0"/>
        <w:adjustRightInd w:val="0"/>
        <w:jc w:val="both"/>
        <w:rPr>
          <w:rFonts w:cs="Arial"/>
          <w:sz w:val="22"/>
          <w:szCs w:val="22"/>
        </w:rPr>
      </w:pPr>
      <w:r w:rsidRPr="00C7506B">
        <w:rPr>
          <w:rFonts w:cs="Arial"/>
          <w:sz w:val="22"/>
          <w:szCs w:val="22"/>
        </w:rPr>
        <w:t>Amparo Bertomeu</w:t>
      </w:r>
    </w:p>
    <w:p w14:paraId="4CCCA178" w14:textId="77777777" w:rsidR="00CF1FDA" w:rsidRDefault="00CF1FDA">
      <w:pPr>
        <w:spacing w:after="160" w:line="259" w:lineRule="auto"/>
        <w:rPr>
          <w:rFonts w:cs="Arial"/>
          <w:b/>
          <w:bCs/>
          <w:color w:val="000000" w:themeColor="text1"/>
          <w:sz w:val="22"/>
          <w:szCs w:val="22"/>
          <w:u w:val="single"/>
        </w:rPr>
      </w:pPr>
      <w:r>
        <w:rPr>
          <w:rFonts w:cs="Arial"/>
          <w:b/>
          <w:bCs/>
          <w:color w:val="000000" w:themeColor="text1"/>
          <w:sz w:val="22"/>
          <w:szCs w:val="22"/>
          <w:u w:val="single"/>
        </w:rPr>
        <w:br w:type="page"/>
      </w:r>
    </w:p>
    <w:p w14:paraId="58A6DF1B" w14:textId="77777777" w:rsidR="0062558E" w:rsidRDefault="0062558E" w:rsidP="0062558E">
      <w:pPr>
        <w:autoSpaceDE w:val="0"/>
        <w:autoSpaceDN w:val="0"/>
        <w:adjustRightInd w:val="0"/>
        <w:jc w:val="center"/>
        <w:rPr>
          <w:rFonts w:eastAsiaTheme="minorHAnsi"/>
          <w:b/>
          <w:bCs/>
          <w:color w:val="000000" w:themeColor="text1"/>
          <w:u w:val="single"/>
        </w:rPr>
      </w:pPr>
      <w:r>
        <w:rPr>
          <w:b/>
          <w:bCs/>
          <w:color w:val="000000" w:themeColor="text1"/>
          <w:u w:val="single"/>
        </w:rPr>
        <w:lastRenderedPageBreak/>
        <w:t xml:space="preserve">CONDICIONADO GENERAL DE LAS CONVOCATORIAS DE PARTICIPACIONES AGRUPADAS / STANDS INFORMATIVOS CON EMPRESAS ORGANIZADAS POR ENTIDADES COLABORADORAS </w:t>
      </w:r>
    </w:p>
    <w:p w14:paraId="14C9F83C" w14:textId="77777777" w:rsidR="0062558E" w:rsidRDefault="0062558E" w:rsidP="0062558E">
      <w:pPr>
        <w:autoSpaceDE w:val="0"/>
        <w:autoSpaceDN w:val="0"/>
        <w:adjustRightInd w:val="0"/>
        <w:rPr>
          <w:color w:val="000000" w:themeColor="text1"/>
        </w:rPr>
      </w:pPr>
    </w:p>
    <w:p w14:paraId="2344DF14"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Aprobación de la convocatoria y posibles modificaciones posteriores </w:t>
      </w:r>
    </w:p>
    <w:p w14:paraId="242ECE78" w14:textId="77777777" w:rsidR="0062558E" w:rsidRPr="0062558E" w:rsidRDefault="0062558E" w:rsidP="0062558E">
      <w:pPr>
        <w:autoSpaceDE w:val="0"/>
        <w:autoSpaceDN w:val="0"/>
        <w:adjustRightInd w:val="0"/>
        <w:rPr>
          <w:rFonts w:cs="Arial"/>
          <w:color w:val="000000" w:themeColor="text1"/>
          <w:sz w:val="22"/>
          <w:szCs w:val="22"/>
        </w:rPr>
      </w:pPr>
    </w:p>
    <w:p w14:paraId="32B3A105" w14:textId="77777777" w:rsidR="0062558E" w:rsidRPr="0062558E" w:rsidRDefault="0062558E" w:rsidP="0062558E">
      <w:pPr>
        <w:autoSpaceDE w:val="0"/>
        <w:autoSpaceDN w:val="0"/>
        <w:adjustRightInd w:val="0"/>
        <w:rPr>
          <w:rFonts w:cs="Arial"/>
          <w:b/>
          <w:bCs/>
          <w:color w:val="0070C0"/>
          <w:sz w:val="22"/>
          <w:szCs w:val="22"/>
        </w:rPr>
      </w:pPr>
      <w:r w:rsidRPr="0062558E">
        <w:rPr>
          <w:rFonts w:cs="Arial"/>
          <w:sz w:val="22"/>
          <w:szCs w:val="22"/>
        </w:rPr>
        <w:t xml:space="preserve">La presente convocatoria de Participación Agrupada que la Entidad Colaboradora organiza con el apoyo de ICEX España Exportación e Inversiones (en adelante ICEX) ha sido aprobada </w:t>
      </w:r>
      <w:r w:rsidRPr="0062558E">
        <w:rPr>
          <w:rFonts w:cs="Arial"/>
          <w:b/>
          <w:bCs/>
          <w:color w:val="0070C0"/>
          <w:sz w:val="22"/>
          <w:szCs w:val="22"/>
        </w:rPr>
        <w:t xml:space="preserve">en la Resolución de la </w:t>
      </w:r>
      <w:proofErr w:type="gramStart"/>
      <w:r w:rsidRPr="0062558E">
        <w:rPr>
          <w:rFonts w:cs="Arial"/>
          <w:b/>
          <w:bCs/>
          <w:color w:val="0070C0"/>
          <w:sz w:val="22"/>
          <w:szCs w:val="22"/>
        </w:rPr>
        <w:t>Consejera Delegada</w:t>
      </w:r>
      <w:proofErr w:type="gramEnd"/>
      <w:r w:rsidRPr="0062558E">
        <w:rPr>
          <w:rFonts w:cs="Arial"/>
          <w:b/>
          <w:bCs/>
          <w:color w:val="0070C0"/>
          <w:sz w:val="22"/>
          <w:szCs w:val="22"/>
        </w:rPr>
        <w:t xml:space="preserve"> que se indica en la propia Convocatoria.</w:t>
      </w:r>
    </w:p>
    <w:p w14:paraId="303504F9" w14:textId="77777777" w:rsidR="0062558E" w:rsidRPr="0062558E" w:rsidRDefault="0062558E" w:rsidP="0062558E">
      <w:pPr>
        <w:autoSpaceDE w:val="0"/>
        <w:autoSpaceDN w:val="0"/>
        <w:adjustRightInd w:val="0"/>
        <w:rPr>
          <w:rFonts w:cs="Arial"/>
          <w:color w:val="7030A0"/>
          <w:sz w:val="22"/>
          <w:szCs w:val="22"/>
        </w:rPr>
      </w:pPr>
    </w:p>
    <w:p w14:paraId="7D0C9B38" w14:textId="77777777" w:rsidR="0062558E" w:rsidRPr="0062558E" w:rsidRDefault="0062558E" w:rsidP="0062558E">
      <w:pPr>
        <w:autoSpaceDE w:val="0"/>
        <w:autoSpaceDN w:val="0"/>
        <w:adjustRightInd w:val="0"/>
        <w:rPr>
          <w:rFonts w:cs="Arial"/>
          <w:color w:val="000000" w:themeColor="text1"/>
          <w:sz w:val="22"/>
          <w:szCs w:val="22"/>
        </w:rPr>
      </w:pPr>
      <w:r w:rsidRPr="0062558E">
        <w:rPr>
          <w:rFonts w:cs="Arial"/>
          <w:color w:val="000000" w:themeColor="text1"/>
          <w:sz w:val="22"/>
          <w:szCs w:val="22"/>
        </w:rPr>
        <w:t>Toda modificación que pudieran sufrir las condiciones recogidas en la convocatoria que acompaña al presente condicionado será comunicada a ICEX y, en su caso, a los solicitantes de la ayuda con carácter previo a la celebración de la actividad. La Entidad Colaboradora procederá a elaborar la correspondiente adenda a la convocatoria donde queden reflejadas dichas modificaciones.</w:t>
      </w:r>
    </w:p>
    <w:p w14:paraId="67ABC095" w14:textId="77777777" w:rsidR="0062558E" w:rsidRPr="0062558E" w:rsidRDefault="0062558E" w:rsidP="0062558E">
      <w:pPr>
        <w:autoSpaceDE w:val="0"/>
        <w:autoSpaceDN w:val="0"/>
        <w:adjustRightInd w:val="0"/>
        <w:rPr>
          <w:rFonts w:cs="Arial"/>
          <w:color w:val="000000" w:themeColor="text1"/>
          <w:sz w:val="22"/>
          <w:szCs w:val="22"/>
        </w:rPr>
      </w:pPr>
    </w:p>
    <w:p w14:paraId="4307FD1B" w14:textId="77777777" w:rsidR="0062558E" w:rsidRPr="0062558E" w:rsidRDefault="0062558E" w:rsidP="0062558E">
      <w:pPr>
        <w:autoSpaceDE w:val="0"/>
        <w:autoSpaceDN w:val="0"/>
        <w:adjustRightInd w:val="0"/>
        <w:rPr>
          <w:rFonts w:cs="Arial"/>
          <w:color w:val="000000" w:themeColor="text1"/>
          <w:sz w:val="22"/>
          <w:szCs w:val="22"/>
        </w:rPr>
      </w:pPr>
    </w:p>
    <w:p w14:paraId="2485BAA5"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Ayudas ICEX </w:t>
      </w:r>
    </w:p>
    <w:p w14:paraId="39560A82" w14:textId="77777777" w:rsidR="0062558E" w:rsidRPr="0062558E" w:rsidRDefault="0062558E" w:rsidP="0062558E">
      <w:pPr>
        <w:autoSpaceDE w:val="0"/>
        <w:autoSpaceDN w:val="0"/>
        <w:adjustRightInd w:val="0"/>
        <w:rPr>
          <w:rFonts w:cs="Arial"/>
          <w:color w:val="000000" w:themeColor="text1"/>
          <w:sz w:val="22"/>
          <w:szCs w:val="22"/>
        </w:rPr>
      </w:pPr>
    </w:p>
    <w:p w14:paraId="34DDEA67" w14:textId="77777777" w:rsidR="0062558E" w:rsidRPr="0062558E" w:rsidRDefault="0062558E" w:rsidP="0062558E">
      <w:pPr>
        <w:autoSpaceDE w:val="0"/>
        <w:autoSpaceDN w:val="0"/>
        <w:adjustRightInd w:val="0"/>
        <w:rPr>
          <w:rFonts w:cs="Arial"/>
          <w:sz w:val="22"/>
          <w:szCs w:val="22"/>
        </w:rPr>
      </w:pPr>
      <w:r w:rsidRPr="0062558E">
        <w:rPr>
          <w:rFonts w:cs="Arial"/>
          <w:color w:val="000000" w:themeColor="text1"/>
          <w:sz w:val="22"/>
          <w:szCs w:val="22"/>
        </w:rPr>
        <w:t xml:space="preserve">La ayuda ICEX está abierta por igual tanto a empresas asociadas como no asociadas, no siendo necesario ser miembro de la Entidad Colaboradora para percibir la referida ayuda. </w:t>
      </w:r>
      <w:r w:rsidRPr="0062558E">
        <w:rPr>
          <w:rFonts w:cs="Arial"/>
          <w:b/>
          <w:bCs/>
          <w:color w:val="0070C0"/>
          <w:sz w:val="22"/>
          <w:szCs w:val="22"/>
        </w:rPr>
        <w:t>En la propia Convocatoria se determina el objeto de ayuda ICEX.</w:t>
      </w:r>
      <w:r w:rsidRPr="0062558E">
        <w:rPr>
          <w:rFonts w:cs="Arial"/>
          <w:color w:val="0070C0"/>
          <w:sz w:val="22"/>
          <w:szCs w:val="22"/>
        </w:rPr>
        <w:t xml:space="preserve"> </w:t>
      </w:r>
    </w:p>
    <w:p w14:paraId="40764EB4" w14:textId="77777777" w:rsidR="0062558E" w:rsidRPr="0062558E" w:rsidRDefault="0062558E" w:rsidP="0062558E">
      <w:pPr>
        <w:autoSpaceDE w:val="0"/>
        <w:autoSpaceDN w:val="0"/>
        <w:adjustRightInd w:val="0"/>
        <w:rPr>
          <w:rFonts w:cs="Arial"/>
          <w:sz w:val="22"/>
          <w:szCs w:val="22"/>
        </w:rPr>
      </w:pPr>
    </w:p>
    <w:p w14:paraId="15B62EB4" w14:textId="77777777" w:rsidR="0062558E" w:rsidRPr="0062558E" w:rsidRDefault="0062558E" w:rsidP="0062558E">
      <w:pPr>
        <w:autoSpaceDE w:val="0"/>
        <w:autoSpaceDN w:val="0"/>
        <w:adjustRightInd w:val="0"/>
        <w:rPr>
          <w:rFonts w:cs="Arial"/>
          <w:sz w:val="22"/>
          <w:szCs w:val="22"/>
        </w:rPr>
      </w:pPr>
      <w:r w:rsidRPr="0062558E">
        <w:rPr>
          <w:rFonts w:cs="Arial"/>
          <w:sz w:val="22"/>
          <w:szCs w:val="22"/>
        </w:rPr>
        <w:t xml:space="preserve">La ayuda máxima presupuestada por ICEX para esta actividad </w:t>
      </w:r>
      <w:r w:rsidRPr="0062558E">
        <w:rPr>
          <w:rFonts w:cs="Arial"/>
          <w:b/>
          <w:bCs/>
          <w:color w:val="0070C0"/>
          <w:sz w:val="22"/>
          <w:szCs w:val="22"/>
        </w:rPr>
        <w:t>es la que se recoge en la convocatoria,</w:t>
      </w:r>
      <w:r w:rsidRPr="0062558E">
        <w:rPr>
          <w:rFonts w:cs="Arial"/>
          <w:sz w:val="22"/>
          <w:szCs w:val="22"/>
        </w:rPr>
        <w:t xml:space="preserve"> debiendo haber sido aprobada en el Plan sectorial correspondiente. Las convocatorias referidas a actividades a realizar en el año siguiente a aquel en que se apruebe la convocatoria, cuyo presupuesto no se encuentre incluido en el Plan Sectorial del año en curso, quedarán condicionadas, en su caso, a la aprobación </w:t>
      </w:r>
      <w:proofErr w:type="gramStart"/>
      <w:r w:rsidRPr="0062558E">
        <w:rPr>
          <w:rFonts w:cs="Arial"/>
          <w:sz w:val="22"/>
          <w:szCs w:val="22"/>
        </w:rPr>
        <w:t>del mismo</w:t>
      </w:r>
      <w:proofErr w:type="gramEnd"/>
      <w:r w:rsidRPr="0062558E">
        <w:rPr>
          <w:rFonts w:cs="Arial"/>
          <w:sz w:val="22"/>
          <w:szCs w:val="22"/>
        </w:rPr>
        <w:t xml:space="preserve">. </w:t>
      </w:r>
    </w:p>
    <w:p w14:paraId="092A64AB" w14:textId="77777777" w:rsidR="0062558E" w:rsidRPr="0062558E" w:rsidRDefault="0062558E" w:rsidP="0062558E">
      <w:pPr>
        <w:autoSpaceDE w:val="0"/>
        <w:autoSpaceDN w:val="0"/>
        <w:adjustRightInd w:val="0"/>
        <w:rPr>
          <w:rFonts w:cs="Arial"/>
          <w:sz w:val="22"/>
          <w:szCs w:val="22"/>
        </w:rPr>
      </w:pPr>
    </w:p>
    <w:p w14:paraId="3A64AD38" w14:textId="77777777" w:rsidR="0062558E" w:rsidRPr="0062558E" w:rsidRDefault="0062558E" w:rsidP="0062558E">
      <w:pPr>
        <w:autoSpaceDE w:val="0"/>
        <w:autoSpaceDN w:val="0"/>
        <w:adjustRightInd w:val="0"/>
        <w:rPr>
          <w:rFonts w:cs="Arial"/>
          <w:b/>
          <w:bCs/>
          <w:color w:val="0070C0"/>
          <w:sz w:val="22"/>
          <w:szCs w:val="22"/>
        </w:rPr>
      </w:pPr>
      <w:r w:rsidRPr="0062558E">
        <w:rPr>
          <w:rFonts w:cs="Arial"/>
          <w:color w:val="000000" w:themeColor="text1"/>
          <w:sz w:val="22"/>
          <w:szCs w:val="22"/>
        </w:rPr>
        <w:t xml:space="preserve">Finalizada la feria y tras la liquidación de las ayudas ICEX, la Entidad Colaboradora podrá facturar en concepto de gestión de la ayuda y tramitación hasta un 15% del total de la ayuda final concedida a cada empresa. </w:t>
      </w:r>
      <w:r w:rsidRPr="0062558E">
        <w:rPr>
          <w:rFonts w:cs="Arial"/>
          <w:b/>
          <w:bCs/>
          <w:color w:val="0070C0"/>
          <w:sz w:val="22"/>
          <w:szCs w:val="22"/>
        </w:rPr>
        <w:t>En el documento de Convocatoria se indicará el porcentaje aplicado por la Entidad Colaboradora en su caso.</w:t>
      </w:r>
      <w:r w:rsidRPr="0062558E">
        <w:rPr>
          <w:rFonts w:cs="Arial"/>
          <w:color w:val="000000" w:themeColor="text1"/>
          <w:sz w:val="22"/>
          <w:szCs w:val="22"/>
        </w:rPr>
        <w:t xml:space="preserve"> Los gastos de gestión de ayuda ICEX que la Entidad Colaboradora puede cobrar a las empresas participantes deben ser los mismos tanto para las empresas asociadas como para las no asociadas.</w:t>
      </w:r>
    </w:p>
    <w:p w14:paraId="4356008E" w14:textId="77777777" w:rsidR="0062558E" w:rsidRPr="0062558E" w:rsidRDefault="0062558E" w:rsidP="0062558E">
      <w:pPr>
        <w:autoSpaceDE w:val="0"/>
        <w:autoSpaceDN w:val="0"/>
        <w:adjustRightInd w:val="0"/>
        <w:rPr>
          <w:rFonts w:cs="Arial"/>
          <w:color w:val="000000" w:themeColor="text1"/>
          <w:sz w:val="22"/>
          <w:szCs w:val="22"/>
        </w:rPr>
      </w:pPr>
    </w:p>
    <w:p w14:paraId="55601ECD" w14:textId="77777777" w:rsidR="0062558E" w:rsidRPr="0062558E" w:rsidRDefault="0062558E" w:rsidP="0062558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Cualquier cuota adicional estará referida a servicios adicionales de valor añadido, siendo siempre opcionales para las empresas participantes e independientes de los gastos de gestión de ayuda, y quedará a criterio de la Entidad Colaboradora la diferenciación en las cantidades a satisfacer por estos servicios de valor añadido entre empresas asociadas o no. </w:t>
      </w:r>
    </w:p>
    <w:p w14:paraId="638A88CB" w14:textId="77777777" w:rsidR="0062558E" w:rsidRPr="0062558E" w:rsidRDefault="0062558E" w:rsidP="0062558E">
      <w:pPr>
        <w:autoSpaceDE w:val="0"/>
        <w:autoSpaceDN w:val="0"/>
        <w:adjustRightInd w:val="0"/>
        <w:rPr>
          <w:rFonts w:cs="Arial"/>
          <w:color w:val="000000" w:themeColor="text1"/>
          <w:sz w:val="22"/>
          <w:szCs w:val="22"/>
        </w:rPr>
      </w:pPr>
    </w:p>
    <w:p w14:paraId="54AECA48"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Requisitos empresas perceptoras de la ayuda ICEX </w:t>
      </w:r>
    </w:p>
    <w:p w14:paraId="509313A2" w14:textId="77777777" w:rsidR="0062558E" w:rsidRPr="0062558E" w:rsidRDefault="0062558E" w:rsidP="0062558E">
      <w:pPr>
        <w:autoSpaceDE w:val="0"/>
        <w:autoSpaceDN w:val="0"/>
        <w:adjustRightInd w:val="0"/>
        <w:rPr>
          <w:rFonts w:cs="Arial"/>
          <w:color w:val="000000" w:themeColor="text1"/>
          <w:sz w:val="22"/>
          <w:szCs w:val="22"/>
          <w:u w:val="single"/>
        </w:rPr>
      </w:pPr>
    </w:p>
    <w:p w14:paraId="356501C6" w14:textId="77777777" w:rsidR="0062558E" w:rsidRPr="0062558E" w:rsidRDefault="0062558E" w:rsidP="0062558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Las empresas perceptoras de ayudas ICEX deberán estar al corriente de pagos a la Seguridad Social y a la Hacienda Pública y </w:t>
      </w:r>
      <w:r w:rsidRPr="0062558E">
        <w:rPr>
          <w:rFonts w:cs="Arial"/>
          <w:sz w:val="22"/>
          <w:szCs w:val="22"/>
        </w:rPr>
        <w:t xml:space="preserve">no haber sido sancionadas </w:t>
      </w:r>
      <w:r w:rsidRPr="0062558E">
        <w:rPr>
          <w:rFonts w:cs="Arial"/>
          <w:color w:val="000000" w:themeColor="text1"/>
          <w:sz w:val="22"/>
          <w:szCs w:val="22"/>
        </w:rPr>
        <w:t xml:space="preserve">con la pérdida del derecho a la percepción de subvenciones o ayudas públicas. </w:t>
      </w:r>
    </w:p>
    <w:p w14:paraId="7F01CD30" w14:textId="77777777" w:rsidR="0062558E" w:rsidRPr="0062558E" w:rsidRDefault="0062558E" w:rsidP="0062558E">
      <w:pPr>
        <w:autoSpaceDE w:val="0"/>
        <w:autoSpaceDN w:val="0"/>
        <w:adjustRightInd w:val="0"/>
        <w:rPr>
          <w:rFonts w:cs="Arial"/>
          <w:color w:val="000000" w:themeColor="text1"/>
          <w:sz w:val="22"/>
          <w:szCs w:val="22"/>
        </w:rPr>
      </w:pPr>
    </w:p>
    <w:p w14:paraId="0329967D" w14:textId="77777777" w:rsidR="0062558E" w:rsidRPr="0062558E" w:rsidRDefault="0062558E" w:rsidP="0062558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Con el objetivo de evaluar las medidas públicas y así progresar en la mejora constante de la efectividad de sus actividades optimizando el efecto de los recursos públicos que ICEX administra, éste ha resuelto recabar progresivamente información sobre el comercio exterior de las empresas que participan en sus actividades o que sean objeto de apoyo ICEX. Para ello, las empresas han de autorizar al Departamento de Aduanas e II.EE. de la Agencia Estatal de la Administración Tributaria para que remita dicha información a ICEX. La </w:t>
      </w:r>
      <w:r w:rsidRPr="0062558E">
        <w:rPr>
          <w:rFonts w:cs="Arial"/>
          <w:color w:val="000000" w:themeColor="text1"/>
          <w:sz w:val="22"/>
          <w:szCs w:val="22"/>
        </w:rPr>
        <w:lastRenderedPageBreak/>
        <w:t>autorización [1] señalada se ha de cursar una sola vez a través de la Agencia Tributaria y puede ser revocada en cualquier momento.</w:t>
      </w:r>
    </w:p>
    <w:p w14:paraId="6D7EEA30" w14:textId="77777777" w:rsidR="0062558E" w:rsidRPr="0062558E" w:rsidRDefault="0062558E" w:rsidP="0062558E">
      <w:pPr>
        <w:autoSpaceDE w:val="0"/>
        <w:autoSpaceDN w:val="0"/>
        <w:adjustRightInd w:val="0"/>
        <w:rPr>
          <w:rFonts w:cs="Arial"/>
          <w:color w:val="000000" w:themeColor="text1"/>
          <w:sz w:val="22"/>
          <w:szCs w:val="22"/>
        </w:rPr>
      </w:pPr>
    </w:p>
    <w:p w14:paraId="38EB16CC" w14:textId="77777777" w:rsidR="0062558E" w:rsidRPr="0062558E" w:rsidRDefault="0062558E" w:rsidP="0062558E">
      <w:pPr>
        <w:rPr>
          <w:rFonts w:cs="Arial"/>
          <w:sz w:val="22"/>
          <w:szCs w:val="22"/>
        </w:rPr>
      </w:pPr>
      <w:r w:rsidRPr="0062558E">
        <w:rPr>
          <w:rFonts w:cs="Arial"/>
          <w:b/>
          <w:bCs/>
          <w:sz w:val="22"/>
          <w:szCs w:val="22"/>
        </w:rPr>
        <w:t> </w:t>
      </w:r>
      <w:r w:rsidRPr="0062558E">
        <w:rPr>
          <w:rStyle w:val="Refdenotaalpie"/>
          <w:rFonts w:cs="Arial"/>
          <w:b/>
          <w:bCs/>
          <w:i/>
          <w:iCs/>
          <w:sz w:val="22"/>
          <w:szCs w:val="22"/>
        </w:rPr>
        <w:t>[1]</w:t>
      </w:r>
      <w:r w:rsidRPr="0062558E">
        <w:rPr>
          <w:rFonts w:cs="Arial"/>
          <w:b/>
          <w:bCs/>
          <w:i/>
          <w:iCs/>
          <w:sz w:val="22"/>
          <w:szCs w:val="22"/>
        </w:rPr>
        <w:t xml:space="preserve"> </w:t>
      </w:r>
      <w:r w:rsidRPr="0062558E">
        <w:rPr>
          <w:rFonts w:cs="Arial"/>
          <w:b/>
          <w:bCs/>
          <w:i/>
          <w:iCs/>
          <w:color w:val="000000"/>
          <w:sz w:val="22"/>
          <w:szCs w:val="22"/>
        </w:rPr>
        <w:t xml:space="preserve">- Enlace para </w:t>
      </w:r>
      <w:r w:rsidRPr="0062558E">
        <w:rPr>
          <w:rFonts w:cs="Arial"/>
          <w:b/>
          <w:bCs/>
          <w:i/>
          <w:iCs/>
          <w:sz w:val="22"/>
          <w:szCs w:val="22"/>
        </w:rPr>
        <w:t>CURSAR LA AUTORIZACION EN ADUANAS</w:t>
      </w:r>
      <w:r w:rsidRPr="0062558E">
        <w:rPr>
          <w:rFonts w:cs="Arial"/>
          <w:b/>
          <w:bCs/>
          <w:i/>
          <w:iCs/>
          <w:color w:val="000000"/>
          <w:sz w:val="22"/>
          <w:szCs w:val="22"/>
        </w:rPr>
        <w:t xml:space="preserve">: </w:t>
      </w:r>
      <w:hyperlink r:id="rId9" w:history="1">
        <w:r w:rsidRPr="0062558E">
          <w:rPr>
            <w:rStyle w:val="Hipervnculo"/>
            <w:rFonts w:cs="Arial"/>
            <w:b/>
            <w:bCs/>
            <w:i/>
            <w:iCs/>
            <w:sz w:val="22"/>
            <w:szCs w:val="22"/>
          </w:rPr>
          <w:t>https://www.agenciatributaria.gob.es/AEAT.sede/tramitacion/DC15</w:t>
        </w:r>
      </w:hyperlink>
      <w:r w:rsidRPr="0062558E">
        <w:rPr>
          <w:rFonts w:cs="Arial"/>
          <w:b/>
          <w:bCs/>
          <w:i/>
          <w:iCs/>
          <w:sz w:val="22"/>
          <w:szCs w:val="22"/>
        </w:rPr>
        <w:t xml:space="preserve"> </w:t>
      </w:r>
    </w:p>
    <w:p w14:paraId="2DD6551F" w14:textId="77777777" w:rsidR="0062558E" w:rsidRPr="0062558E" w:rsidRDefault="0062558E" w:rsidP="0062558E">
      <w:pPr>
        <w:rPr>
          <w:rFonts w:cs="Arial"/>
          <w:sz w:val="22"/>
          <w:szCs w:val="22"/>
        </w:rPr>
      </w:pPr>
      <w:r w:rsidRPr="0062558E">
        <w:rPr>
          <w:rFonts w:cs="Arial"/>
          <w:b/>
          <w:bCs/>
          <w:i/>
          <w:iCs/>
          <w:color w:val="000000"/>
          <w:sz w:val="22"/>
          <w:szCs w:val="22"/>
        </w:rPr>
        <w:t xml:space="preserve">- </w:t>
      </w:r>
      <w:r w:rsidRPr="0062558E">
        <w:rPr>
          <w:rFonts w:cs="Arial"/>
          <w:b/>
          <w:bCs/>
          <w:i/>
          <w:iCs/>
          <w:sz w:val="22"/>
          <w:szCs w:val="22"/>
        </w:rPr>
        <w:t xml:space="preserve">Información sobre los objetivos de esta autorización: </w:t>
      </w:r>
      <w:hyperlink r:id="rId10" w:history="1">
        <w:r w:rsidRPr="0062558E">
          <w:rPr>
            <w:rStyle w:val="Hipervnculo"/>
            <w:rFonts w:cs="Arial"/>
            <w:b/>
            <w:bCs/>
            <w:i/>
            <w:iCs/>
            <w:sz w:val="22"/>
            <w:szCs w:val="22"/>
          </w:rPr>
          <w:t>https://www.icex.es/icex/es/navegacion-principal/que-es-icex/nuevos-instrumentos/index.html</w:t>
        </w:r>
      </w:hyperlink>
    </w:p>
    <w:p w14:paraId="128C44E8" w14:textId="77777777" w:rsidR="0062558E" w:rsidRPr="0062558E" w:rsidRDefault="0062558E" w:rsidP="0062558E">
      <w:pPr>
        <w:autoSpaceDE w:val="0"/>
        <w:autoSpaceDN w:val="0"/>
        <w:adjustRightInd w:val="0"/>
        <w:rPr>
          <w:rFonts w:cs="Arial"/>
          <w:color w:val="FF0000"/>
          <w:sz w:val="22"/>
          <w:szCs w:val="22"/>
        </w:rPr>
      </w:pPr>
      <w:r w:rsidRPr="0062558E">
        <w:rPr>
          <w:rFonts w:cs="Arial"/>
          <w:b/>
          <w:bCs/>
          <w:i/>
          <w:iCs/>
          <w:sz w:val="22"/>
          <w:szCs w:val="22"/>
        </w:rPr>
        <w:t xml:space="preserve">- Vídeo con información: </w:t>
      </w:r>
      <w:hyperlink r:id="rId11" w:history="1">
        <w:r w:rsidRPr="0062558E">
          <w:rPr>
            <w:rStyle w:val="Hipervnculo"/>
            <w:rFonts w:cs="Arial"/>
            <w:b/>
            <w:bCs/>
            <w:i/>
            <w:iCs/>
            <w:sz w:val="22"/>
            <w:szCs w:val="22"/>
          </w:rPr>
          <w:t>https://www.icex.es/icex/es/navegacion-principal/que-es-icex/sala-de-prensa/videos/categorias-videos/sectores/servicios/VID2019828701.html</w:t>
        </w:r>
      </w:hyperlink>
    </w:p>
    <w:p w14:paraId="2A3C2610" w14:textId="77777777" w:rsidR="0062558E" w:rsidRPr="0062558E" w:rsidRDefault="0062558E" w:rsidP="0062558E">
      <w:pPr>
        <w:autoSpaceDE w:val="0"/>
        <w:autoSpaceDN w:val="0"/>
        <w:adjustRightInd w:val="0"/>
        <w:rPr>
          <w:rFonts w:cs="Arial"/>
          <w:color w:val="000000" w:themeColor="text1"/>
          <w:sz w:val="22"/>
          <w:szCs w:val="22"/>
          <w:u w:val="single"/>
        </w:rPr>
      </w:pPr>
    </w:p>
    <w:p w14:paraId="608D0CFA"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Temporalidad </w:t>
      </w:r>
    </w:p>
    <w:p w14:paraId="1E37B282"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59C7D6FA" w14:textId="77777777" w:rsidR="0062558E" w:rsidRPr="0062558E" w:rsidRDefault="0062558E" w:rsidP="0062558E">
      <w:pPr>
        <w:rPr>
          <w:rFonts w:cs="Arial"/>
          <w:sz w:val="22"/>
          <w:szCs w:val="22"/>
        </w:rPr>
      </w:pPr>
      <w:r w:rsidRPr="0062558E">
        <w:rPr>
          <w:rFonts w:cs="Arial"/>
          <w:sz w:val="22"/>
          <w:szCs w:val="22"/>
        </w:rPr>
        <w:t xml:space="preserve">El porcentaje de apoyo ICEX a las empresas en las Ferias de Participación Agrupada está sujeto a una política de aplicación temporal de apoyos ICEX mediante la cual el apoyo disminuye en función de los años de participación en la Feria. </w:t>
      </w:r>
    </w:p>
    <w:p w14:paraId="628F2609" w14:textId="77777777" w:rsidR="0062558E" w:rsidRPr="0062558E" w:rsidRDefault="0062558E" w:rsidP="0062558E">
      <w:pPr>
        <w:rPr>
          <w:rFonts w:cs="Arial"/>
          <w:sz w:val="22"/>
          <w:szCs w:val="22"/>
        </w:rPr>
      </w:pPr>
      <w:r w:rsidRPr="0062558E">
        <w:rPr>
          <w:rFonts w:cs="Arial"/>
          <w:sz w:val="22"/>
          <w:szCs w:val="22"/>
        </w:rPr>
        <w:t xml:space="preserve">Las empresas podrán recibir ayuda ICEX hasta en un máximo de cinco ocasiones. Una vez trascurridos los cinco años de apoyo a la empresa y/o marca en esta actividad no se recibirá </w:t>
      </w:r>
      <w:proofErr w:type="spellStart"/>
      <w:r w:rsidRPr="0062558E">
        <w:rPr>
          <w:rFonts w:cs="Arial"/>
          <w:sz w:val="22"/>
          <w:szCs w:val="22"/>
        </w:rPr>
        <w:t>mas</w:t>
      </w:r>
      <w:proofErr w:type="spellEnd"/>
      <w:r w:rsidRPr="0062558E">
        <w:rPr>
          <w:rFonts w:cs="Arial"/>
          <w:sz w:val="22"/>
          <w:szCs w:val="22"/>
        </w:rPr>
        <w:t xml:space="preserve"> apoyo. Para la contabilización de la temporalidad se tendrán en cuenta años consecutivos o no consecutivos a partir de 2008 (incluido) para ferias anuales y/o bianuales (dos ediciones al año) y a partir de 2003 (incluido) para ferias bienales (que se celebran cada dos años). </w:t>
      </w:r>
    </w:p>
    <w:p w14:paraId="28B312B8" w14:textId="77777777" w:rsidR="0062558E" w:rsidRPr="0062558E" w:rsidRDefault="0062558E" w:rsidP="0062558E">
      <w:pPr>
        <w:rPr>
          <w:rFonts w:cs="Arial"/>
          <w:b/>
          <w:bCs/>
          <w:color w:val="0070C0"/>
          <w:sz w:val="22"/>
          <w:szCs w:val="22"/>
        </w:rPr>
      </w:pPr>
      <w:r w:rsidRPr="0062558E">
        <w:rPr>
          <w:rFonts w:cs="Arial"/>
          <w:sz w:val="22"/>
          <w:szCs w:val="22"/>
        </w:rPr>
        <w:t xml:space="preserve">Las empresas que participen por primera vez en la actividad convocada con apoyo de ICEX recibirán 5 puntos adicionales sobre el porcentaje general de apoyo a la feria. Es decir, las empresas que participen por primera vez percibirán como máximo hasta un 40% de gastos susceptibles de apoyo, mientras que las empresas que participen entre su segunda y quinta edición percibirán como máximo hasta un 35%, </w:t>
      </w:r>
      <w:r w:rsidRPr="0062558E">
        <w:rPr>
          <w:rFonts w:cs="Arial"/>
          <w:b/>
          <w:bCs/>
          <w:color w:val="0070C0"/>
          <w:sz w:val="22"/>
          <w:szCs w:val="22"/>
        </w:rPr>
        <w:t>determinándose en la Convocatoria el porcentaje concreto.</w:t>
      </w:r>
    </w:p>
    <w:p w14:paraId="78E1E273" w14:textId="77777777" w:rsidR="0062558E" w:rsidRPr="0062558E" w:rsidRDefault="0062558E" w:rsidP="0062558E">
      <w:pPr>
        <w:rPr>
          <w:rFonts w:cs="Arial"/>
          <w:b/>
          <w:bCs/>
          <w:color w:val="0070C0"/>
          <w:sz w:val="22"/>
          <w:szCs w:val="22"/>
        </w:rPr>
      </w:pPr>
    </w:p>
    <w:p w14:paraId="0CB94C2B" w14:textId="77777777" w:rsidR="0062558E" w:rsidRPr="0062558E" w:rsidRDefault="0062558E" w:rsidP="0062558E">
      <w:pPr>
        <w:rPr>
          <w:rFonts w:cs="Arial"/>
          <w:sz w:val="22"/>
          <w:szCs w:val="22"/>
        </w:rPr>
      </w:pPr>
      <w:r w:rsidRPr="0062558E">
        <w:rPr>
          <w:rFonts w:cs="Arial"/>
          <w:sz w:val="22"/>
          <w:szCs w:val="22"/>
        </w:rPr>
        <w:t>No obstante, y de manera excepcional para 2021, no se tendrá en cuenta el año 2020 para el</w:t>
      </w:r>
      <w:r w:rsidRPr="0062558E">
        <w:rPr>
          <w:rFonts w:cs="Arial"/>
          <w:color w:val="000000" w:themeColor="text1"/>
          <w:sz w:val="22"/>
          <w:szCs w:val="22"/>
        </w:rPr>
        <w:t xml:space="preserve"> </w:t>
      </w:r>
      <w:r w:rsidRPr="0062558E">
        <w:rPr>
          <w:rFonts w:cs="Arial"/>
          <w:sz w:val="22"/>
          <w:szCs w:val="22"/>
        </w:rPr>
        <w:t>cálculo de la temporalidad a aplicar.</w:t>
      </w:r>
    </w:p>
    <w:p w14:paraId="3BABC0CC" w14:textId="77777777" w:rsidR="0062558E" w:rsidRPr="0062558E" w:rsidRDefault="0062558E" w:rsidP="0062558E">
      <w:pPr>
        <w:rPr>
          <w:rFonts w:cs="Arial"/>
          <w:sz w:val="22"/>
          <w:szCs w:val="22"/>
        </w:rPr>
      </w:pPr>
    </w:p>
    <w:p w14:paraId="47102E45" w14:textId="2AFCFD4F" w:rsidR="0062558E" w:rsidRPr="0062558E" w:rsidRDefault="0062558E" w:rsidP="0062558E">
      <w:pPr>
        <w:rPr>
          <w:rFonts w:cs="Arial"/>
          <w:sz w:val="22"/>
          <w:szCs w:val="22"/>
        </w:rPr>
      </w:pPr>
      <w:r w:rsidRPr="0062558E">
        <w:rPr>
          <w:rFonts w:cs="Arial"/>
          <w:sz w:val="22"/>
          <w:szCs w:val="22"/>
        </w:rPr>
        <w:t>Asimismo, e igualmente de manera excepcional para el año 2021, se flexibilizan los topes porcentuales de ayuda en participaciones agrupadas en ferias con formato virtual siendo el NUEVO PORCENTAJE MÁXIMO DE APOYO GENERAL PARA EL AÑO 2021 de hasta el 70%. En el caso de ferias que pasen a formato virtual, se elimina la diferencia entre actividades en la UE y fuera de ella, quedando el tope unificado en el 70%.</w:t>
      </w:r>
    </w:p>
    <w:p w14:paraId="52CBF6F0" w14:textId="77777777" w:rsidR="0062558E" w:rsidRPr="0062558E" w:rsidRDefault="0062558E" w:rsidP="0062558E">
      <w:pPr>
        <w:rPr>
          <w:rFonts w:cs="Arial"/>
          <w:sz w:val="22"/>
          <w:szCs w:val="22"/>
        </w:rPr>
      </w:pPr>
    </w:p>
    <w:p w14:paraId="75CD4846" w14:textId="77777777" w:rsidR="0062558E" w:rsidRPr="0062558E" w:rsidRDefault="0062558E" w:rsidP="0062558E">
      <w:pPr>
        <w:rPr>
          <w:rFonts w:cs="Arial"/>
          <w:color w:val="000000" w:themeColor="text1"/>
          <w:sz w:val="22"/>
          <w:szCs w:val="22"/>
        </w:rPr>
      </w:pPr>
      <w:r w:rsidRPr="0062558E">
        <w:rPr>
          <w:rFonts w:cs="Arial"/>
          <w:sz w:val="22"/>
          <w:szCs w:val="22"/>
        </w:rPr>
        <w:t>Este porcentaje podrá rebasarse hasta 75% en los casos que sean de aplicación los 5 puntos porcentuales de bonificación para empresas que participan por primera vez en la actividad. Esta bonificación NO es aplicable a las Entidades Colaboradoras a las cuales se les aplicará siempre el</w:t>
      </w:r>
      <w:r w:rsidRPr="0062558E">
        <w:rPr>
          <w:rFonts w:cs="Arial"/>
          <w:color w:val="000000" w:themeColor="text1"/>
          <w:sz w:val="22"/>
          <w:szCs w:val="22"/>
        </w:rPr>
        <w:t xml:space="preserve"> porcentaje de apoyo general.</w:t>
      </w:r>
    </w:p>
    <w:p w14:paraId="5F5AA5A1" w14:textId="77777777" w:rsidR="0062558E" w:rsidRPr="0062558E" w:rsidRDefault="0062558E" w:rsidP="0062558E">
      <w:pPr>
        <w:pStyle w:val="Default"/>
        <w:jc w:val="both"/>
        <w:rPr>
          <w:color w:val="000000" w:themeColor="text1"/>
          <w:sz w:val="22"/>
          <w:szCs w:val="22"/>
        </w:rPr>
      </w:pPr>
    </w:p>
    <w:p w14:paraId="33910999" w14:textId="77777777" w:rsidR="0062558E" w:rsidRPr="0062558E" w:rsidRDefault="0062558E" w:rsidP="0062558E">
      <w:pPr>
        <w:rPr>
          <w:rFonts w:cs="Arial"/>
          <w:color w:val="000000" w:themeColor="text1"/>
          <w:sz w:val="22"/>
          <w:szCs w:val="22"/>
        </w:rPr>
      </w:pPr>
      <w:r w:rsidRPr="0062558E">
        <w:rPr>
          <w:rFonts w:cs="Arial"/>
          <w:color w:val="000000" w:themeColor="text1"/>
          <w:sz w:val="22"/>
          <w:szCs w:val="22"/>
        </w:rPr>
        <w:t>De la misma forma, cuando las ferias pasen de formato físico a virtual, al verse éstas transformadas en su totalidad, tendrán la consideración de “nueva actividad” mientras esté vigente ese cambio de formato, a efectos tanto de aplicación de porcentaje como de cálculo de temporalidad.</w:t>
      </w:r>
    </w:p>
    <w:p w14:paraId="5E2A12F0" w14:textId="77777777" w:rsidR="0062558E" w:rsidRPr="0062558E" w:rsidRDefault="0062558E" w:rsidP="0062558E">
      <w:pPr>
        <w:rPr>
          <w:rFonts w:cs="Arial"/>
          <w:sz w:val="22"/>
          <w:szCs w:val="22"/>
        </w:rPr>
      </w:pPr>
    </w:p>
    <w:p w14:paraId="0F2571A8"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 Fecha límite de recepción de solicitudes</w:t>
      </w:r>
    </w:p>
    <w:p w14:paraId="2A860629" w14:textId="77777777" w:rsidR="0062558E" w:rsidRPr="0062558E" w:rsidRDefault="0062558E" w:rsidP="0062558E">
      <w:pPr>
        <w:autoSpaceDE w:val="0"/>
        <w:autoSpaceDN w:val="0"/>
        <w:adjustRightInd w:val="0"/>
        <w:rPr>
          <w:rFonts w:cs="Arial"/>
          <w:color w:val="000000" w:themeColor="text1"/>
          <w:sz w:val="22"/>
          <w:szCs w:val="22"/>
        </w:rPr>
      </w:pPr>
    </w:p>
    <w:p w14:paraId="72A71B59" w14:textId="77777777" w:rsidR="0062558E" w:rsidRPr="0062558E" w:rsidRDefault="0062558E" w:rsidP="0062558E">
      <w:pPr>
        <w:autoSpaceDE w:val="0"/>
        <w:autoSpaceDN w:val="0"/>
        <w:adjustRightInd w:val="0"/>
        <w:rPr>
          <w:rFonts w:cs="Arial"/>
          <w:b/>
          <w:bCs/>
          <w:color w:val="0070C0"/>
          <w:sz w:val="22"/>
          <w:szCs w:val="22"/>
        </w:rPr>
      </w:pPr>
      <w:r w:rsidRPr="0062558E">
        <w:rPr>
          <w:rFonts w:cs="Arial"/>
          <w:color w:val="000000" w:themeColor="text1"/>
          <w:sz w:val="22"/>
          <w:szCs w:val="22"/>
        </w:rPr>
        <w:t xml:space="preserve">No se admitirá ninguna solicitud de ayuda recibida con posterioridad a </w:t>
      </w:r>
      <w:r w:rsidRPr="0062558E">
        <w:rPr>
          <w:rFonts w:cs="Arial"/>
          <w:b/>
          <w:bCs/>
          <w:color w:val="0070C0"/>
          <w:sz w:val="22"/>
          <w:szCs w:val="22"/>
        </w:rPr>
        <w:t>la fecha indicada en la Convocatoria.</w:t>
      </w:r>
    </w:p>
    <w:p w14:paraId="0FD117FA" w14:textId="77777777" w:rsidR="0062558E" w:rsidRPr="0062558E" w:rsidRDefault="0062558E" w:rsidP="0062558E">
      <w:pPr>
        <w:autoSpaceDE w:val="0"/>
        <w:autoSpaceDN w:val="0"/>
        <w:adjustRightInd w:val="0"/>
        <w:rPr>
          <w:rFonts w:cs="Arial"/>
          <w:b/>
          <w:bCs/>
          <w:color w:val="0070C0"/>
          <w:sz w:val="22"/>
          <w:szCs w:val="22"/>
        </w:rPr>
      </w:pPr>
    </w:p>
    <w:p w14:paraId="639181FF" w14:textId="77777777" w:rsidR="0062558E" w:rsidRPr="0062558E" w:rsidRDefault="0062558E" w:rsidP="0062558E">
      <w:pPr>
        <w:autoSpaceDE w:val="0"/>
        <w:autoSpaceDN w:val="0"/>
        <w:adjustRightInd w:val="0"/>
        <w:rPr>
          <w:rFonts w:cs="Arial"/>
          <w:b/>
          <w:bCs/>
          <w:color w:val="0070C0"/>
          <w:sz w:val="22"/>
          <w:szCs w:val="22"/>
        </w:rPr>
      </w:pPr>
    </w:p>
    <w:p w14:paraId="60350BF8"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Criterios de selección de las empresas receptoras de la ayuda</w:t>
      </w:r>
    </w:p>
    <w:p w14:paraId="6E191E5B" w14:textId="77777777" w:rsidR="0062558E" w:rsidRPr="0062558E" w:rsidRDefault="0062558E" w:rsidP="0062558E">
      <w:pPr>
        <w:autoSpaceDE w:val="0"/>
        <w:autoSpaceDN w:val="0"/>
        <w:adjustRightInd w:val="0"/>
        <w:rPr>
          <w:rFonts w:cs="Arial"/>
          <w:color w:val="000000" w:themeColor="text1"/>
          <w:sz w:val="22"/>
          <w:szCs w:val="22"/>
        </w:rPr>
      </w:pPr>
    </w:p>
    <w:p w14:paraId="54AE6D29" w14:textId="77777777" w:rsidR="0062558E" w:rsidRPr="0062558E" w:rsidRDefault="0062558E" w:rsidP="0062558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La Entidad Colaboradora seleccionará a las empresas beneficiarias por riguroso orden de recepción de la documentación solicitada, </w:t>
      </w:r>
      <w:r w:rsidRPr="0062558E">
        <w:rPr>
          <w:rFonts w:cs="Arial"/>
          <w:b/>
          <w:bCs/>
          <w:color w:val="0070C0"/>
          <w:sz w:val="22"/>
          <w:szCs w:val="22"/>
        </w:rPr>
        <w:t>salvo que en la Convocatoria se establezcan otros criterios</w:t>
      </w:r>
      <w:r w:rsidRPr="0062558E">
        <w:rPr>
          <w:rFonts w:cs="Arial"/>
          <w:color w:val="0070C0"/>
          <w:sz w:val="22"/>
          <w:szCs w:val="22"/>
        </w:rPr>
        <w:t xml:space="preserve"> </w:t>
      </w:r>
      <w:r w:rsidRPr="0062558E">
        <w:rPr>
          <w:rFonts w:cs="Arial"/>
          <w:color w:val="000000" w:themeColor="text1"/>
          <w:sz w:val="22"/>
          <w:szCs w:val="22"/>
        </w:rPr>
        <w:t>junto con sus ponderaciones.</w:t>
      </w:r>
    </w:p>
    <w:p w14:paraId="429EB182" w14:textId="77777777" w:rsidR="0062558E" w:rsidRPr="0062558E" w:rsidRDefault="0062558E" w:rsidP="0062558E">
      <w:pPr>
        <w:autoSpaceDE w:val="0"/>
        <w:autoSpaceDN w:val="0"/>
        <w:adjustRightInd w:val="0"/>
        <w:rPr>
          <w:rFonts w:cs="Arial"/>
          <w:color w:val="000000" w:themeColor="text1"/>
          <w:sz w:val="22"/>
          <w:szCs w:val="22"/>
        </w:rPr>
      </w:pPr>
    </w:p>
    <w:p w14:paraId="5D0CAC7B" w14:textId="77777777" w:rsidR="0062558E" w:rsidRPr="0062558E" w:rsidRDefault="0062558E" w:rsidP="0062558E">
      <w:pPr>
        <w:autoSpaceDE w:val="0"/>
        <w:autoSpaceDN w:val="0"/>
        <w:adjustRightInd w:val="0"/>
        <w:rPr>
          <w:rFonts w:cs="Arial"/>
          <w:color w:val="000000" w:themeColor="text1"/>
          <w:sz w:val="22"/>
          <w:szCs w:val="22"/>
        </w:rPr>
      </w:pPr>
      <w:r w:rsidRPr="0062558E">
        <w:rPr>
          <w:rFonts w:cs="Arial"/>
          <w:color w:val="000000" w:themeColor="text1"/>
          <w:sz w:val="22"/>
          <w:szCs w:val="22"/>
        </w:rPr>
        <w:t>Para apoyar la Participación Agrupada deberán concurrir, con carácter general, un mínimo de 6 empresas.</w:t>
      </w:r>
    </w:p>
    <w:p w14:paraId="4A41C5DF" w14:textId="77777777" w:rsidR="0062558E" w:rsidRPr="0062558E" w:rsidRDefault="0062558E" w:rsidP="0062558E">
      <w:pPr>
        <w:autoSpaceDE w:val="0"/>
        <w:autoSpaceDN w:val="0"/>
        <w:adjustRightInd w:val="0"/>
        <w:rPr>
          <w:rFonts w:cs="Arial"/>
          <w:color w:val="000000" w:themeColor="text1"/>
          <w:sz w:val="22"/>
          <w:szCs w:val="22"/>
        </w:rPr>
      </w:pPr>
    </w:p>
    <w:p w14:paraId="5850D806"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Justificación de la Ayuda</w:t>
      </w:r>
    </w:p>
    <w:p w14:paraId="307C3A1E"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28CE65DE" w14:textId="77777777" w:rsidR="0062558E" w:rsidRPr="0062558E" w:rsidRDefault="0062558E" w:rsidP="0062558E">
      <w:pPr>
        <w:autoSpaceDE w:val="0"/>
        <w:autoSpaceDN w:val="0"/>
        <w:adjustRightInd w:val="0"/>
        <w:rPr>
          <w:rFonts w:cs="Arial"/>
          <w:bCs/>
          <w:color w:val="000000" w:themeColor="text1"/>
          <w:sz w:val="22"/>
          <w:szCs w:val="22"/>
        </w:rPr>
      </w:pPr>
      <w:r w:rsidRPr="0062558E">
        <w:rPr>
          <w:rFonts w:cs="Arial"/>
          <w:bCs/>
          <w:color w:val="000000" w:themeColor="text1"/>
          <w:sz w:val="22"/>
          <w:szCs w:val="22"/>
        </w:rPr>
        <w:t>La Entidad Colaboradora, como Entidad Perceptora, debe presentar toda la documentación relativa a la ejecución de la actividad en el plazo estipulado en el comunicado de aprobación, que será como máximo de tres meses contados desde la fecha de finalización de la presente actividad objeto de apoyo, de conformidad con las especificaciones del procedimiento de justificaciones de ayudas ICEX para Participaciones Agrupadas vigentes en cada momento.</w:t>
      </w:r>
    </w:p>
    <w:p w14:paraId="1126CEBE" w14:textId="77777777" w:rsidR="0062558E" w:rsidRPr="0062558E" w:rsidRDefault="0062558E" w:rsidP="0062558E">
      <w:pPr>
        <w:autoSpaceDE w:val="0"/>
        <w:autoSpaceDN w:val="0"/>
        <w:adjustRightInd w:val="0"/>
        <w:rPr>
          <w:rFonts w:cs="Arial"/>
          <w:bCs/>
          <w:color w:val="000000" w:themeColor="text1"/>
          <w:sz w:val="22"/>
          <w:szCs w:val="22"/>
        </w:rPr>
      </w:pPr>
    </w:p>
    <w:p w14:paraId="18D60161" w14:textId="77777777" w:rsidR="0062558E" w:rsidRPr="0062558E" w:rsidRDefault="0062558E" w:rsidP="0062558E">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Las empresas beneficiarias que participen en la actividad y sean destinatarias de la ayuda quedan obligadas a entregar a la Entidad Colaboradora toda la documentación necesaria dentro del plazo estipulado a fin de poder realizar una correcta justificación de los gastos objeto de la ayuda ICEX. El incumplimiento de la obligación de entregar la documentación justificativa requerida en el plazo establecido podrá dar lugar a la no liquidación del apoyo ICEX a la empresa participante. Es imprescindible guardar todos los documentos originales, relativos a la actividad. </w:t>
      </w:r>
    </w:p>
    <w:p w14:paraId="64FF9C1C" w14:textId="77777777" w:rsidR="0062558E" w:rsidRPr="0062558E" w:rsidRDefault="0062558E" w:rsidP="0062558E">
      <w:pPr>
        <w:autoSpaceDE w:val="0"/>
        <w:autoSpaceDN w:val="0"/>
        <w:adjustRightInd w:val="0"/>
        <w:rPr>
          <w:rFonts w:cs="Arial"/>
          <w:b/>
          <w:color w:val="000000" w:themeColor="text1"/>
          <w:sz w:val="22"/>
          <w:szCs w:val="22"/>
          <w:u w:val="single"/>
        </w:rPr>
      </w:pPr>
    </w:p>
    <w:p w14:paraId="3D14CF04"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Adenda</w:t>
      </w:r>
    </w:p>
    <w:p w14:paraId="6256950F"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2EA13AAA" w14:textId="77777777" w:rsidR="0062558E" w:rsidRPr="0062558E" w:rsidRDefault="0062558E" w:rsidP="0062558E">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Cualquier modificación de las condiciones de la Convocatoria requerirá la previa aprobación mediante Resolución de la </w:t>
      </w:r>
      <w:proofErr w:type="gramStart"/>
      <w:r w:rsidRPr="0062558E">
        <w:rPr>
          <w:rFonts w:cs="Arial"/>
          <w:bCs/>
          <w:color w:val="000000" w:themeColor="text1"/>
          <w:sz w:val="22"/>
          <w:szCs w:val="22"/>
        </w:rPr>
        <w:t>Consejera Delegada</w:t>
      </w:r>
      <w:proofErr w:type="gramEnd"/>
      <w:r w:rsidRPr="0062558E">
        <w:rPr>
          <w:rFonts w:cs="Arial"/>
          <w:bCs/>
          <w:color w:val="000000" w:themeColor="text1"/>
          <w:sz w:val="22"/>
          <w:szCs w:val="22"/>
        </w:rPr>
        <w:t xml:space="preserve"> de una Adenda en la que se detalle el cambio producido.</w:t>
      </w:r>
    </w:p>
    <w:p w14:paraId="7A5459E8" w14:textId="77777777" w:rsidR="0062558E" w:rsidRPr="0062558E" w:rsidRDefault="0062558E" w:rsidP="0062558E">
      <w:pPr>
        <w:autoSpaceDE w:val="0"/>
        <w:autoSpaceDN w:val="0"/>
        <w:adjustRightInd w:val="0"/>
        <w:rPr>
          <w:rFonts w:cs="Arial"/>
          <w:bCs/>
          <w:color w:val="000000" w:themeColor="text1"/>
          <w:sz w:val="22"/>
          <w:szCs w:val="22"/>
        </w:rPr>
      </w:pPr>
    </w:p>
    <w:p w14:paraId="110A046F" w14:textId="77777777" w:rsidR="0062558E" w:rsidRPr="0062558E" w:rsidRDefault="0062558E" w:rsidP="0062558E">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Si la modificación supusiera la apertura de un nuevo plazo de presentación de solicitudes, no podrán ser tenidas en consideración aquellas solicitudes presentadas entre la finalización del primer plazo y la apertura del segundo. </w:t>
      </w:r>
    </w:p>
    <w:p w14:paraId="4858C035" w14:textId="77777777" w:rsidR="0062558E" w:rsidRPr="0062558E" w:rsidRDefault="0062558E" w:rsidP="0062558E">
      <w:pPr>
        <w:autoSpaceDE w:val="0"/>
        <w:autoSpaceDN w:val="0"/>
        <w:adjustRightInd w:val="0"/>
        <w:rPr>
          <w:rFonts w:cs="Arial"/>
          <w:bCs/>
          <w:color w:val="000000" w:themeColor="text1"/>
          <w:sz w:val="22"/>
          <w:szCs w:val="22"/>
        </w:rPr>
      </w:pPr>
    </w:p>
    <w:p w14:paraId="0FD29FB4" w14:textId="77777777" w:rsidR="0062558E" w:rsidRPr="0062558E" w:rsidRDefault="0062558E" w:rsidP="0062558E">
      <w:pPr>
        <w:autoSpaceDE w:val="0"/>
        <w:autoSpaceDN w:val="0"/>
        <w:adjustRightInd w:val="0"/>
        <w:rPr>
          <w:rFonts w:cs="Arial"/>
          <w:bCs/>
          <w:color w:val="000000" w:themeColor="text1"/>
          <w:sz w:val="22"/>
          <w:szCs w:val="22"/>
        </w:rPr>
      </w:pPr>
      <w:r w:rsidRPr="0062558E">
        <w:rPr>
          <w:rFonts w:cs="Arial"/>
          <w:bCs/>
          <w:sz w:val="22"/>
          <w:szCs w:val="22"/>
        </w:rPr>
        <w:t>En este supuesto, en el que se abra un nuevo plazo para presentar solicitudes, y salvo que se indique lo contrario, las solicitudes ya presentadas con anterioridad seguirán siendo válidas siempre que las mismas se hubieran presentado dentro del plazo establecido inicialmente.</w:t>
      </w:r>
    </w:p>
    <w:p w14:paraId="1E4565D4" w14:textId="77777777" w:rsidR="0062558E" w:rsidRPr="0062558E" w:rsidRDefault="0062558E" w:rsidP="0062558E">
      <w:pPr>
        <w:autoSpaceDE w:val="0"/>
        <w:autoSpaceDN w:val="0"/>
        <w:adjustRightInd w:val="0"/>
        <w:rPr>
          <w:rFonts w:cs="Arial"/>
          <w:b/>
          <w:color w:val="000000" w:themeColor="text1"/>
          <w:sz w:val="22"/>
          <w:szCs w:val="22"/>
          <w:u w:val="single"/>
        </w:rPr>
      </w:pPr>
    </w:p>
    <w:p w14:paraId="67603AA6"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Cláusula de protección de datos </w:t>
      </w:r>
    </w:p>
    <w:p w14:paraId="71B6DAD4"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0EF5DFC5" w14:textId="77777777" w:rsidR="0062558E" w:rsidRPr="0062558E" w:rsidRDefault="0062558E" w:rsidP="0062558E">
      <w:pPr>
        <w:rPr>
          <w:rFonts w:cs="Arial"/>
          <w:sz w:val="22"/>
          <w:szCs w:val="22"/>
        </w:rPr>
      </w:pPr>
      <w:r w:rsidRPr="0062558E">
        <w:rPr>
          <w:rFonts w:cs="Arial"/>
          <w:sz w:val="22"/>
          <w:szCs w:val="22"/>
        </w:rPr>
        <w:t>Sus datos podrán ser cedidos a ICEX,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r w:rsidRPr="0062558E">
        <w:rPr>
          <w:rFonts w:cs="Arial"/>
          <w:b/>
          <w:bCs/>
          <w:color w:val="0070C0"/>
          <w:sz w:val="22"/>
          <w:szCs w:val="22"/>
        </w:rPr>
        <w:t xml:space="preserve"> La Convocatoria recoge la política de protección de datos personales de la Entidad Colaboradora, así como los datos del responsable del fichero.</w:t>
      </w:r>
    </w:p>
    <w:p w14:paraId="099639A6" w14:textId="77777777" w:rsidR="0062558E" w:rsidRPr="0062558E" w:rsidRDefault="0062558E" w:rsidP="0062558E">
      <w:pPr>
        <w:autoSpaceDE w:val="0"/>
        <w:autoSpaceDN w:val="0"/>
        <w:adjustRightInd w:val="0"/>
        <w:rPr>
          <w:rFonts w:cs="Arial"/>
          <w:sz w:val="22"/>
          <w:szCs w:val="22"/>
        </w:rPr>
      </w:pPr>
      <w:r w:rsidRPr="0062558E">
        <w:rPr>
          <w:rFonts w:cs="Arial"/>
          <w:sz w:val="22"/>
          <w:szCs w:val="22"/>
        </w:rPr>
        <w:t xml:space="preserve"> </w:t>
      </w:r>
    </w:p>
    <w:p w14:paraId="632E47CE" w14:textId="77777777" w:rsidR="0062558E" w:rsidRPr="0062558E" w:rsidRDefault="0062558E" w:rsidP="0062558E">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Legislación aplicable:</w:t>
      </w:r>
    </w:p>
    <w:p w14:paraId="01859403"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7C8BF953" w14:textId="77777777" w:rsidR="0062558E" w:rsidRPr="0062558E" w:rsidRDefault="0062558E" w:rsidP="0062558E">
      <w:pPr>
        <w:rPr>
          <w:rFonts w:cs="Arial"/>
          <w:i/>
          <w:color w:val="000000"/>
          <w:sz w:val="22"/>
          <w:szCs w:val="22"/>
        </w:rPr>
      </w:pPr>
      <w:r w:rsidRPr="0062558E">
        <w:rPr>
          <w:rFonts w:cs="Arial"/>
          <w:i/>
          <w:color w:val="000000"/>
          <w:sz w:val="22"/>
          <w:szCs w:val="22"/>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w:t>
      </w:r>
      <w:r w:rsidRPr="0062558E">
        <w:rPr>
          <w:rFonts w:cs="Arial"/>
          <w:i/>
          <w:color w:val="000000"/>
          <w:sz w:val="22"/>
          <w:szCs w:val="22"/>
        </w:rPr>
        <w:lastRenderedPageBreak/>
        <w:t xml:space="preserve">las ayudas de minimis. La ayuda total de </w:t>
      </w:r>
      <w:proofErr w:type="spellStart"/>
      <w:r w:rsidRPr="0062558E">
        <w:rPr>
          <w:rFonts w:cs="Arial"/>
          <w:i/>
          <w:color w:val="000000"/>
          <w:sz w:val="22"/>
          <w:szCs w:val="22"/>
        </w:rPr>
        <w:t>mínimis</w:t>
      </w:r>
      <w:proofErr w:type="spellEnd"/>
      <w:r w:rsidRPr="0062558E">
        <w:rPr>
          <w:rFonts w:cs="Arial"/>
          <w:i/>
          <w:color w:val="000000"/>
          <w:sz w:val="22"/>
          <w:szCs w:val="22"/>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14:paraId="20E8D4E0" w14:textId="77777777" w:rsidR="0062558E" w:rsidRPr="0062558E" w:rsidRDefault="0062558E" w:rsidP="0062558E">
      <w:pPr>
        <w:rPr>
          <w:rFonts w:cs="Arial"/>
          <w:i/>
          <w:color w:val="000000"/>
          <w:sz w:val="22"/>
          <w:szCs w:val="22"/>
        </w:rPr>
      </w:pPr>
      <w:r w:rsidRPr="0062558E">
        <w:rPr>
          <w:rFonts w:cs="Arial"/>
          <w:i/>
          <w:color w:val="000000"/>
          <w:sz w:val="22"/>
          <w:szCs w:val="22"/>
        </w:rPr>
        <w:t>De igual forma, le es de aplicación la Ley 38/2003, de 17 de noviembre, General de Subvenciones y el Real Decreto 887/2006, de 21 de julio de desarrollo, en todo lo relativo a las ayudas dinerarias sin contraprestación al igual que la normativa interna de ayudas de ICEX aprobada por el Consejo de Administración de 21 de noviembre de 2019.</w:t>
      </w:r>
    </w:p>
    <w:p w14:paraId="41245C55"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2AF6FED3" w14:textId="77777777" w:rsidR="0062558E" w:rsidRPr="0062558E" w:rsidRDefault="0062558E" w:rsidP="0062558E">
      <w:pPr>
        <w:autoSpaceDE w:val="0"/>
        <w:autoSpaceDN w:val="0"/>
        <w:adjustRightInd w:val="0"/>
        <w:ind w:left="360"/>
        <w:rPr>
          <w:rFonts w:cs="Arial"/>
          <w:b/>
          <w:color w:val="000000" w:themeColor="text1"/>
          <w:sz w:val="22"/>
          <w:szCs w:val="22"/>
          <w:u w:val="single"/>
        </w:rPr>
      </w:pPr>
      <w:r w:rsidRPr="0062558E">
        <w:rPr>
          <w:rFonts w:cs="Arial"/>
          <w:b/>
          <w:color w:val="000000" w:themeColor="text1"/>
          <w:sz w:val="22"/>
          <w:szCs w:val="22"/>
          <w:u w:val="single"/>
        </w:rPr>
        <w:t>11-Texto Fondos Feder</w:t>
      </w:r>
    </w:p>
    <w:p w14:paraId="609AA53D" w14:textId="77777777" w:rsidR="0062558E" w:rsidRPr="0062558E" w:rsidRDefault="0062558E" w:rsidP="0062558E">
      <w:pPr>
        <w:autoSpaceDE w:val="0"/>
        <w:autoSpaceDN w:val="0"/>
        <w:adjustRightInd w:val="0"/>
        <w:ind w:left="360"/>
        <w:rPr>
          <w:rFonts w:cs="Arial"/>
          <w:b/>
          <w:color w:val="000000" w:themeColor="text1"/>
          <w:sz w:val="22"/>
          <w:szCs w:val="22"/>
          <w:u w:val="single"/>
        </w:rPr>
      </w:pPr>
    </w:p>
    <w:p w14:paraId="27C20508" w14:textId="77777777" w:rsidR="0062558E" w:rsidRPr="0062558E" w:rsidRDefault="0062558E" w:rsidP="0062558E">
      <w:pPr>
        <w:rPr>
          <w:rFonts w:cs="Arial"/>
          <w:i/>
          <w:color w:val="000000"/>
          <w:sz w:val="22"/>
          <w:szCs w:val="22"/>
        </w:rPr>
      </w:pPr>
      <w:r w:rsidRPr="0062558E">
        <w:rPr>
          <w:rFonts w:cs="Arial"/>
          <w:i/>
          <w:color w:val="000000"/>
          <w:sz w:val="22"/>
          <w:szCs w:val="22"/>
        </w:rPr>
        <w:t>“Esta actividad es susceptible de ser cofinanciada por el Fondo Europeo de Desarrollo Regional (FEDER).</w:t>
      </w:r>
    </w:p>
    <w:p w14:paraId="5947BEA6" w14:textId="77777777" w:rsidR="0062558E" w:rsidRPr="0062558E" w:rsidRDefault="0062558E" w:rsidP="0062558E">
      <w:pPr>
        <w:rPr>
          <w:rFonts w:cs="Arial"/>
          <w:i/>
          <w:color w:val="000000"/>
          <w:sz w:val="22"/>
          <w:szCs w:val="22"/>
        </w:rPr>
      </w:pPr>
      <w:r w:rsidRPr="0062558E">
        <w:rPr>
          <w:rFonts w:cs="Arial"/>
          <w:i/>
          <w:color w:val="000000"/>
          <w:sz w:val="22"/>
          <w:szCs w:val="22"/>
        </w:rPr>
        <w:t>La aceptación de la ayuda ICEX por parte de las empresas participantes, supone su aceptación a ser incluidas en la lista de operaciones publicada de conformidad con art. 115 apartado 2) del Reglamento (UE) 1303/2013.</w:t>
      </w:r>
    </w:p>
    <w:p w14:paraId="3069CFBB" w14:textId="77777777" w:rsidR="0062558E" w:rsidRPr="0062558E" w:rsidRDefault="0062558E" w:rsidP="0062558E">
      <w:pPr>
        <w:rPr>
          <w:rFonts w:cs="Arial"/>
          <w:i/>
          <w:color w:val="000000"/>
          <w:sz w:val="22"/>
          <w:szCs w:val="22"/>
        </w:rPr>
      </w:pPr>
      <w:r w:rsidRPr="0062558E">
        <w:rPr>
          <w:rFonts w:cs="Arial"/>
          <w:i/>
          <w:color w:val="000000"/>
          <w:sz w:val="22"/>
          <w:szCs w:val="22"/>
        </w:rPr>
        <w:t>Esta aceptación también supone su permiso a que ICEX publique en su página web la conformidad de la empresa con el siguiente texto:</w:t>
      </w:r>
    </w:p>
    <w:p w14:paraId="66530236" w14:textId="77777777" w:rsidR="0062558E" w:rsidRPr="0062558E" w:rsidRDefault="0062558E" w:rsidP="0062558E">
      <w:pPr>
        <w:rPr>
          <w:rFonts w:cs="Arial"/>
          <w:i/>
          <w:color w:val="000000"/>
          <w:sz w:val="22"/>
          <w:szCs w:val="22"/>
        </w:rPr>
      </w:pPr>
      <w:r w:rsidRPr="0062558E">
        <w:rPr>
          <w:rFonts w:cs="Arial"/>
          <w:i/>
          <w:color w:val="000000"/>
          <w:sz w:val="22"/>
          <w:szCs w:val="22"/>
        </w:rPr>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w:t>
      </w:r>
      <w:proofErr w:type="gramStart"/>
      <w:r w:rsidRPr="0062558E">
        <w:rPr>
          <w:rFonts w:cs="Arial"/>
          <w:i/>
          <w:color w:val="000000"/>
          <w:sz w:val="22"/>
          <w:szCs w:val="22"/>
        </w:rPr>
        <w:t>que</w:t>
      </w:r>
      <w:proofErr w:type="gramEnd"/>
      <w:r w:rsidRPr="0062558E">
        <w:rPr>
          <w:rFonts w:cs="Arial"/>
          <w:i/>
          <w:color w:val="000000"/>
          <w:sz w:val="22"/>
          <w:szCs w:val="22"/>
        </w:rPr>
        <w:t xml:space="preserve"> valoró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14:paraId="1988C42F" w14:textId="77777777" w:rsidR="0062558E" w:rsidRPr="0062558E" w:rsidRDefault="0062558E" w:rsidP="0062558E">
      <w:pPr>
        <w:rPr>
          <w:rFonts w:cs="Arial"/>
          <w:i/>
          <w:color w:val="000000"/>
          <w:sz w:val="22"/>
          <w:szCs w:val="22"/>
        </w:rPr>
      </w:pPr>
      <w:r w:rsidRPr="0062558E">
        <w:rPr>
          <w:rFonts w:cs="Arial"/>
          <w:i/>
          <w:color w:val="000000"/>
          <w:sz w:val="22"/>
          <w:szCs w:val="22"/>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w:t>
      </w:r>
      <w:proofErr w:type="gramStart"/>
      <w:r w:rsidRPr="0062558E">
        <w:rPr>
          <w:rFonts w:cs="Arial"/>
          <w:i/>
          <w:color w:val="000000"/>
          <w:sz w:val="22"/>
          <w:szCs w:val="22"/>
        </w:rPr>
        <w:t>4.b</w:t>
      </w:r>
      <w:proofErr w:type="gramEnd"/>
      <w:r w:rsidRPr="0062558E">
        <w:rPr>
          <w:rFonts w:cs="Arial"/>
          <w:i/>
          <w:color w:val="000000"/>
          <w:sz w:val="22"/>
          <w:szCs w:val="22"/>
        </w:rPr>
        <w:t>) del citado Reglamento para lo relativo a la contabilización de las operaciones.</w:t>
      </w:r>
    </w:p>
    <w:p w14:paraId="2EDB0E80" w14:textId="77777777" w:rsidR="0062558E" w:rsidRPr="0062558E" w:rsidRDefault="0062558E" w:rsidP="0062558E">
      <w:pPr>
        <w:rPr>
          <w:rFonts w:cs="Arial"/>
          <w:i/>
          <w:color w:val="000000"/>
          <w:sz w:val="22"/>
          <w:szCs w:val="22"/>
        </w:rPr>
      </w:pPr>
      <w:r w:rsidRPr="0062558E">
        <w:rPr>
          <w:rFonts w:cs="Arial"/>
          <w:i/>
          <w:color w:val="000000"/>
          <w:sz w:val="22"/>
          <w:szCs w:val="22"/>
        </w:rPr>
        <w:t>Toda la información relativa a las responsabilidades y obligaciones de las empresas beneficiarias en materia de Información y Comunicación se encuentra disponible en la web de ICEX</w:t>
      </w:r>
    </w:p>
    <w:p w14:paraId="24C80CA8" w14:textId="77777777" w:rsidR="0062558E" w:rsidRPr="0062558E" w:rsidRDefault="00E67CA4" w:rsidP="0062558E">
      <w:pPr>
        <w:rPr>
          <w:rStyle w:val="Hipervnculo"/>
          <w:rFonts w:cs="Arial"/>
          <w:sz w:val="22"/>
          <w:szCs w:val="22"/>
        </w:rPr>
      </w:pPr>
      <w:hyperlink r:id="rId12" w:history="1">
        <w:r w:rsidR="0062558E" w:rsidRPr="0062558E">
          <w:rPr>
            <w:rStyle w:val="Hipervnculo"/>
            <w:rFonts w:cs="Arial"/>
            <w:i/>
            <w:sz w:val="22"/>
            <w:szCs w:val="22"/>
          </w:rPr>
          <w:t>www.icex.es/fondosfeder</w:t>
        </w:r>
      </w:hyperlink>
    </w:p>
    <w:p w14:paraId="08CC4E9C" w14:textId="77777777" w:rsidR="00CF1FDA" w:rsidRDefault="00CF1FDA" w:rsidP="004F03D8">
      <w:pPr>
        <w:autoSpaceDE w:val="0"/>
        <w:autoSpaceDN w:val="0"/>
        <w:adjustRightInd w:val="0"/>
        <w:jc w:val="both"/>
        <w:rPr>
          <w:rFonts w:cs="Arial"/>
          <w:b/>
          <w:bCs/>
          <w:color w:val="000000" w:themeColor="text1"/>
          <w:sz w:val="22"/>
          <w:szCs w:val="22"/>
          <w:u w:val="single"/>
        </w:rPr>
      </w:pPr>
    </w:p>
    <w:p w14:paraId="75F6CE25" w14:textId="77777777" w:rsidR="004F03D8" w:rsidRPr="00EA1A3A" w:rsidRDefault="004F03D8" w:rsidP="004F03D8">
      <w:pPr>
        <w:jc w:val="both"/>
        <w:rPr>
          <w:rFonts w:cs="Arial"/>
          <w:iCs/>
          <w:color w:val="000000"/>
          <w:sz w:val="22"/>
          <w:szCs w:val="22"/>
        </w:rPr>
      </w:pPr>
    </w:p>
    <w:p w14:paraId="28310037" w14:textId="77777777" w:rsidR="004F03D8" w:rsidRDefault="004F03D8">
      <w:pPr>
        <w:spacing w:after="160" w:line="259" w:lineRule="auto"/>
        <w:rPr>
          <w:rFonts w:cs="Arial"/>
          <w:sz w:val="22"/>
          <w:szCs w:val="22"/>
        </w:rPr>
      </w:pPr>
      <w:r>
        <w:rPr>
          <w:rFonts w:cs="Arial"/>
          <w:sz w:val="22"/>
          <w:szCs w:val="22"/>
        </w:rPr>
        <w:br w:type="page"/>
      </w:r>
    </w:p>
    <w:p w14:paraId="4A19AAEE" w14:textId="55BF422E" w:rsidR="00FC34C5" w:rsidRDefault="00FC34C5" w:rsidP="00E40554">
      <w:pPr>
        <w:autoSpaceDE w:val="0"/>
        <w:autoSpaceDN w:val="0"/>
        <w:adjustRightInd w:val="0"/>
        <w:jc w:val="both"/>
        <w:rPr>
          <w:rFonts w:cs="Arial"/>
          <w:sz w:val="22"/>
          <w:szCs w:val="22"/>
        </w:rPr>
      </w:pPr>
    </w:p>
    <w:p w14:paraId="054C9ADA" w14:textId="77777777" w:rsidR="00181680" w:rsidRPr="00D54325"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6DD5CE2" w14:textId="77777777" w:rsidR="00181680" w:rsidRPr="00046B4C"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046B4C">
        <w:rPr>
          <w:rFonts w:cs="Arial"/>
          <w:b/>
          <w:color w:val="C00000"/>
        </w:rPr>
        <w:t>FICHA DE INSCRIPCIÓN</w:t>
      </w:r>
    </w:p>
    <w:p w14:paraId="55413313" w14:textId="77777777" w:rsidR="00181680" w:rsidRPr="00046B4C"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046B4C">
        <w:rPr>
          <w:rFonts w:cs="Arial"/>
          <w:b/>
          <w:color w:val="C00000"/>
        </w:rPr>
        <w:t xml:space="preserve">FERIA </w:t>
      </w:r>
      <w:r>
        <w:rPr>
          <w:rFonts w:cs="Arial"/>
          <w:b/>
          <w:color w:val="C00000"/>
        </w:rPr>
        <w:t>MAISON&amp;OBJET PARIS</w:t>
      </w:r>
    </w:p>
    <w:p w14:paraId="41514C19" w14:textId="23260477" w:rsidR="00181680" w:rsidRDefault="0059772D"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Pr>
          <w:rFonts w:cs="Arial"/>
          <w:b/>
          <w:color w:val="C00000"/>
        </w:rPr>
        <w:t>0</w:t>
      </w:r>
      <w:r w:rsidR="0036678B">
        <w:rPr>
          <w:rFonts w:cs="Arial"/>
          <w:b/>
          <w:color w:val="C00000"/>
        </w:rPr>
        <w:t>9</w:t>
      </w:r>
      <w:r>
        <w:rPr>
          <w:rFonts w:cs="Arial"/>
          <w:b/>
          <w:color w:val="C00000"/>
        </w:rPr>
        <w:t>-</w:t>
      </w:r>
      <w:r w:rsidR="0036678B">
        <w:rPr>
          <w:rFonts w:cs="Arial"/>
          <w:b/>
          <w:color w:val="C00000"/>
        </w:rPr>
        <w:t>13</w:t>
      </w:r>
      <w:r>
        <w:rPr>
          <w:rFonts w:cs="Arial"/>
          <w:b/>
          <w:color w:val="C00000"/>
        </w:rPr>
        <w:t xml:space="preserve"> </w:t>
      </w:r>
      <w:proofErr w:type="gramStart"/>
      <w:r>
        <w:rPr>
          <w:rFonts w:cs="Arial"/>
          <w:b/>
          <w:color w:val="C00000"/>
        </w:rPr>
        <w:t>Septiembre</w:t>
      </w:r>
      <w:proofErr w:type="gramEnd"/>
      <w:r w:rsidR="00181680">
        <w:rPr>
          <w:rFonts w:cs="Arial"/>
          <w:b/>
          <w:color w:val="C00000"/>
        </w:rPr>
        <w:t xml:space="preserve"> 202</w:t>
      </w:r>
      <w:r w:rsidR="0036678B">
        <w:rPr>
          <w:rFonts w:cs="Arial"/>
          <w:b/>
          <w:color w:val="C00000"/>
        </w:rPr>
        <w:t>1</w:t>
      </w:r>
    </w:p>
    <w:p w14:paraId="66E14002" w14:textId="77777777" w:rsidR="00181680" w:rsidRPr="00D54325" w:rsidRDefault="00181680" w:rsidP="00181680">
      <w:pPr>
        <w:pBdr>
          <w:top w:val="single" w:sz="8" w:space="0"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A618044" w14:textId="77777777" w:rsidR="00181680" w:rsidRPr="00046B4C" w:rsidRDefault="00181680" w:rsidP="00181680">
      <w:pPr>
        <w:jc w:val="both"/>
        <w:rPr>
          <w:rFonts w:cs="Arial"/>
          <w:sz w:val="22"/>
          <w:szCs w:val="22"/>
        </w:rPr>
      </w:pPr>
    </w:p>
    <w:p w14:paraId="39828DFD" w14:textId="77777777" w:rsidR="00181680" w:rsidRPr="00046B4C" w:rsidRDefault="00181680" w:rsidP="00181680">
      <w:pPr>
        <w:jc w:val="both"/>
        <w:rPr>
          <w:rFonts w:cs="Arial"/>
          <w:sz w:val="22"/>
          <w:szCs w:val="22"/>
        </w:rPr>
      </w:pPr>
    </w:p>
    <w:p w14:paraId="608E0238" w14:textId="77777777" w:rsidR="00181680" w:rsidRPr="00046B4C" w:rsidRDefault="00181680" w:rsidP="00181680">
      <w:pPr>
        <w:pStyle w:val="Ttulo1"/>
        <w:spacing w:line="276" w:lineRule="auto"/>
        <w:rPr>
          <w:rFonts w:cs="Arial"/>
          <w:sz w:val="22"/>
          <w:szCs w:val="22"/>
        </w:rPr>
      </w:pPr>
      <w:r w:rsidRPr="00046B4C">
        <w:rPr>
          <w:rFonts w:cs="Arial"/>
          <w:sz w:val="22"/>
          <w:szCs w:val="22"/>
        </w:rPr>
        <w:t xml:space="preserve">NOMBRE DE LA EMPRESA: </w:t>
      </w:r>
      <w:r w:rsidRPr="00046B4C">
        <w:rPr>
          <w:rFonts w:cs="Arial"/>
          <w:b w:val="0"/>
          <w:sz w:val="22"/>
          <w:szCs w:val="22"/>
        </w:rPr>
        <w:fldChar w:fldCharType="begin">
          <w:ffData>
            <w:name w:val="Texto1"/>
            <w:enabled/>
            <w:calcOnExit w:val="0"/>
            <w:textInput/>
          </w:ffData>
        </w:fldChar>
      </w:r>
      <w:bookmarkStart w:id="3" w:name="Texto1"/>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bookmarkEnd w:id="3"/>
    </w:p>
    <w:p w14:paraId="42F7F9FB" w14:textId="77777777" w:rsidR="00181680" w:rsidRPr="00046B4C" w:rsidRDefault="00181680" w:rsidP="00181680">
      <w:pPr>
        <w:pStyle w:val="Ttulo1"/>
        <w:rPr>
          <w:rFonts w:cs="Arial"/>
          <w:sz w:val="22"/>
          <w:szCs w:val="22"/>
        </w:rPr>
      </w:pPr>
      <w:r w:rsidRPr="00046B4C">
        <w:rPr>
          <w:rFonts w:cs="Arial"/>
          <w:sz w:val="22"/>
          <w:szCs w:val="22"/>
        </w:rPr>
        <w:t>NIF</w:t>
      </w:r>
      <w:r w:rsidRPr="00046B4C">
        <w:rPr>
          <w:rFonts w:cs="Arial"/>
          <w:b w:val="0"/>
          <w:sz w:val="22"/>
          <w:szCs w:val="22"/>
        </w:rPr>
        <w:t xml:space="preserve">: </w:t>
      </w:r>
      <w:r w:rsidRPr="00046B4C">
        <w:rPr>
          <w:rFonts w:cs="Arial"/>
          <w:sz w:val="22"/>
          <w:szCs w:val="22"/>
        </w:rPr>
        <w:fldChar w:fldCharType="begin">
          <w:ffData>
            <w:name w:val="Texto1"/>
            <w:enabled/>
            <w:calcOnExit w:val="0"/>
            <w:textInput/>
          </w:ffData>
        </w:fldChar>
      </w:r>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p>
    <w:p w14:paraId="3E3DF1A5" w14:textId="77777777" w:rsidR="00181680" w:rsidRPr="00046B4C" w:rsidRDefault="00181680" w:rsidP="00181680">
      <w:pPr>
        <w:spacing w:line="276" w:lineRule="auto"/>
        <w:jc w:val="both"/>
        <w:rPr>
          <w:rFonts w:cs="Arial"/>
          <w:sz w:val="22"/>
          <w:szCs w:val="22"/>
        </w:rPr>
      </w:pPr>
      <w:r w:rsidRPr="00046B4C">
        <w:rPr>
          <w:rFonts w:cs="Arial"/>
          <w:b/>
          <w:sz w:val="22"/>
          <w:szCs w:val="22"/>
        </w:rPr>
        <w:t>PERSONA DE CONTACTO</w:t>
      </w:r>
      <w:r w:rsidRPr="00046B4C">
        <w:rPr>
          <w:rFonts w:cs="Arial"/>
          <w:sz w:val="22"/>
          <w:szCs w:val="22"/>
        </w:rPr>
        <w:t xml:space="preserve">: </w:t>
      </w:r>
      <w:r w:rsidRPr="00046B4C">
        <w:rPr>
          <w:rFonts w:cs="Arial"/>
          <w:sz w:val="22"/>
          <w:szCs w:val="22"/>
        </w:rPr>
        <w:fldChar w:fldCharType="begin">
          <w:ffData>
            <w:name w:val="Texto14"/>
            <w:enabled/>
            <w:calcOnExit w:val="0"/>
            <w:textInput/>
          </w:ffData>
        </w:fldChar>
      </w:r>
      <w:bookmarkStart w:id="4" w:name="Texto14"/>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4"/>
    </w:p>
    <w:p w14:paraId="696C0A26" w14:textId="77777777" w:rsidR="00181680" w:rsidRPr="00046B4C" w:rsidRDefault="00181680" w:rsidP="00181680">
      <w:pPr>
        <w:pStyle w:val="Ttulo1"/>
        <w:spacing w:line="276" w:lineRule="auto"/>
        <w:rPr>
          <w:rFonts w:cs="Arial"/>
          <w:sz w:val="22"/>
          <w:szCs w:val="22"/>
        </w:rPr>
      </w:pPr>
      <w:r w:rsidRPr="00046B4C">
        <w:rPr>
          <w:rFonts w:cs="Arial"/>
          <w:sz w:val="22"/>
          <w:szCs w:val="22"/>
        </w:rPr>
        <w:t>TELÉFONO</w:t>
      </w:r>
      <w:r w:rsidRPr="00046B4C">
        <w:rPr>
          <w:rFonts w:cs="Arial"/>
          <w:b w:val="0"/>
          <w:sz w:val="22"/>
          <w:szCs w:val="22"/>
        </w:rPr>
        <w:t>:</w:t>
      </w:r>
      <w:r w:rsidRPr="00046B4C">
        <w:rPr>
          <w:rFonts w:cs="Arial"/>
          <w:sz w:val="22"/>
          <w:szCs w:val="22"/>
        </w:rPr>
        <w:t xml:space="preserve"> </w:t>
      </w:r>
      <w:r w:rsidRPr="00046B4C">
        <w:rPr>
          <w:rFonts w:cs="Arial"/>
          <w:b w:val="0"/>
          <w:sz w:val="22"/>
          <w:szCs w:val="22"/>
        </w:rPr>
        <w:fldChar w:fldCharType="begin">
          <w:ffData>
            <w:name w:val="Texto1"/>
            <w:enabled/>
            <w:calcOnExit w:val="0"/>
            <w:textInput/>
          </w:ffData>
        </w:fldChar>
      </w:r>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p>
    <w:p w14:paraId="70CE5162" w14:textId="77777777" w:rsidR="00181680" w:rsidRPr="00046B4C" w:rsidRDefault="00181680" w:rsidP="00181680">
      <w:pPr>
        <w:spacing w:line="276" w:lineRule="auto"/>
        <w:jc w:val="both"/>
        <w:rPr>
          <w:rFonts w:cs="Arial"/>
          <w:sz w:val="22"/>
          <w:szCs w:val="22"/>
        </w:rPr>
      </w:pPr>
      <w:r w:rsidRPr="00046B4C">
        <w:rPr>
          <w:rFonts w:cs="Arial"/>
          <w:b/>
          <w:sz w:val="22"/>
          <w:szCs w:val="22"/>
        </w:rPr>
        <w:t>E-MAIL:</w:t>
      </w:r>
      <w:r w:rsidRPr="00046B4C">
        <w:rPr>
          <w:rFonts w:cs="Arial"/>
          <w:sz w:val="22"/>
          <w:szCs w:val="22"/>
        </w:rPr>
        <w:t xml:space="preserve"> </w:t>
      </w:r>
      <w:r w:rsidRPr="00046B4C">
        <w:rPr>
          <w:rFonts w:cs="Arial"/>
          <w:sz w:val="22"/>
          <w:szCs w:val="22"/>
        </w:rPr>
        <w:fldChar w:fldCharType="begin">
          <w:ffData>
            <w:name w:val="Texto15"/>
            <w:enabled/>
            <w:calcOnExit w:val="0"/>
            <w:textInput/>
          </w:ffData>
        </w:fldChar>
      </w:r>
      <w:bookmarkStart w:id="5" w:name="Texto15"/>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5"/>
    </w:p>
    <w:p w14:paraId="361506ED" w14:textId="77777777" w:rsidR="00181680" w:rsidRPr="00046B4C" w:rsidRDefault="00181680" w:rsidP="00181680">
      <w:pPr>
        <w:spacing w:line="276" w:lineRule="auto"/>
        <w:jc w:val="both"/>
        <w:rPr>
          <w:rFonts w:cs="Arial"/>
          <w:sz w:val="22"/>
          <w:szCs w:val="22"/>
        </w:rPr>
      </w:pPr>
      <w:r w:rsidRPr="00046B4C">
        <w:rPr>
          <w:rFonts w:cs="Arial"/>
          <w:b/>
          <w:sz w:val="22"/>
          <w:szCs w:val="22"/>
        </w:rPr>
        <w:t xml:space="preserve">PÁGINA WEB: </w:t>
      </w:r>
      <w:r w:rsidRPr="00046B4C">
        <w:rPr>
          <w:rFonts w:cs="Arial"/>
          <w:sz w:val="22"/>
          <w:szCs w:val="22"/>
        </w:rPr>
        <w:fldChar w:fldCharType="begin">
          <w:ffData>
            <w:name w:val="Texto16"/>
            <w:enabled/>
            <w:calcOnExit w:val="0"/>
            <w:textInput/>
          </w:ffData>
        </w:fldChar>
      </w:r>
      <w:bookmarkStart w:id="6" w:name="Texto16"/>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6"/>
    </w:p>
    <w:p w14:paraId="5FB78258" w14:textId="77777777" w:rsidR="00181680" w:rsidRPr="00046B4C" w:rsidRDefault="00181680" w:rsidP="00181680">
      <w:pPr>
        <w:jc w:val="both"/>
        <w:rPr>
          <w:rFonts w:cs="Arial"/>
          <w:b/>
          <w:sz w:val="22"/>
          <w:szCs w:val="22"/>
        </w:rPr>
      </w:pPr>
    </w:p>
    <w:p w14:paraId="1E10586A" w14:textId="77777777" w:rsidR="00181680" w:rsidRPr="00046B4C" w:rsidRDefault="00181680" w:rsidP="00181680">
      <w:pPr>
        <w:jc w:val="both"/>
        <w:rPr>
          <w:rFonts w:cs="Arial"/>
          <w:b/>
          <w:sz w:val="22"/>
          <w:szCs w:val="22"/>
        </w:rPr>
      </w:pPr>
    </w:p>
    <w:p w14:paraId="741CAA4E" w14:textId="77777777" w:rsidR="00181680" w:rsidRPr="00046B4C" w:rsidRDefault="00181680" w:rsidP="00181680">
      <w:pPr>
        <w:jc w:val="both"/>
        <w:rPr>
          <w:rFonts w:cs="Arial"/>
          <w:b/>
          <w:sz w:val="22"/>
          <w:szCs w:val="22"/>
        </w:rPr>
      </w:pPr>
    </w:p>
    <w:p w14:paraId="0ABE5D56" w14:textId="77777777" w:rsidR="00181680" w:rsidRPr="00046B4C" w:rsidRDefault="00181680" w:rsidP="00181680">
      <w:pPr>
        <w:spacing w:line="276" w:lineRule="auto"/>
        <w:jc w:val="both"/>
        <w:rPr>
          <w:rFonts w:cs="Arial"/>
          <w:b/>
          <w:sz w:val="22"/>
          <w:szCs w:val="22"/>
        </w:rPr>
      </w:pPr>
      <w:r w:rsidRPr="00046B4C">
        <w:rPr>
          <w:rFonts w:cs="Arial"/>
          <w:b/>
          <w:sz w:val="22"/>
          <w:szCs w:val="22"/>
        </w:rPr>
        <w:t xml:space="preserve">CARACTERÍSTICAS DEL STAND SOLICITADO/ASIGNADO: </w:t>
      </w:r>
    </w:p>
    <w:p w14:paraId="440F6E67" w14:textId="77777777" w:rsidR="00181680" w:rsidRPr="00046B4C" w:rsidRDefault="00181680" w:rsidP="00181680">
      <w:pPr>
        <w:spacing w:line="276" w:lineRule="auto"/>
        <w:jc w:val="both"/>
        <w:rPr>
          <w:rFonts w:cs="Arial"/>
          <w:sz w:val="22"/>
          <w:szCs w:val="22"/>
        </w:rPr>
      </w:pPr>
    </w:p>
    <w:p w14:paraId="1F0B4E2C" w14:textId="77777777" w:rsidR="00181680" w:rsidRPr="00046B4C" w:rsidRDefault="00181680" w:rsidP="00181680">
      <w:pPr>
        <w:numPr>
          <w:ilvl w:val="0"/>
          <w:numId w:val="1"/>
        </w:numPr>
        <w:spacing w:line="360" w:lineRule="auto"/>
        <w:jc w:val="both"/>
        <w:rPr>
          <w:rFonts w:cs="Arial"/>
          <w:sz w:val="22"/>
          <w:szCs w:val="22"/>
        </w:rPr>
      </w:pPr>
      <w:r w:rsidRPr="00046B4C">
        <w:rPr>
          <w:rFonts w:cs="Arial"/>
          <w:sz w:val="22"/>
          <w:szCs w:val="22"/>
        </w:rPr>
        <w:t>Superficie (m</w:t>
      </w:r>
      <w:r w:rsidRPr="00046B4C">
        <w:rPr>
          <w:rFonts w:cs="Arial"/>
          <w:sz w:val="22"/>
          <w:szCs w:val="22"/>
          <w:vertAlign w:val="superscript"/>
        </w:rPr>
        <w:t>2</w:t>
      </w:r>
      <w:r w:rsidRPr="00046B4C">
        <w:rPr>
          <w:rFonts w:cs="Arial"/>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0FC29EEA" w14:textId="77777777" w:rsidR="00181680" w:rsidRPr="00046B4C" w:rsidRDefault="00181680" w:rsidP="00181680">
      <w:pPr>
        <w:numPr>
          <w:ilvl w:val="0"/>
          <w:numId w:val="1"/>
        </w:numPr>
        <w:spacing w:line="360" w:lineRule="auto"/>
        <w:jc w:val="both"/>
        <w:rPr>
          <w:rFonts w:cs="Arial"/>
          <w:sz w:val="22"/>
          <w:szCs w:val="22"/>
        </w:rPr>
      </w:pPr>
      <w:proofErr w:type="spellStart"/>
      <w:r w:rsidRPr="00046B4C">
        <w:rPr>
          <w:rFonts w:cs="Arial"/>
          <w:sz w:val="22"/>
          <w:szCs w:val="22"/>
        </w:rPr>
        <w:t>Nº</w:t>
      </w:r>
      <w:proofErr w:type="spellEnd"/>
      <w:r w:rsidRPr="00046B4C">
        <w:rPr>
          <w:rFonts w:cs="Arial"/>
          <w:sz w:val="22"/>
          <w:szCs w:val="22"/>
        </w:rPr>
        <w:t xml:space="preserve"> lados abiertos: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385741F0" w14:textId="77777777" w:rsidR="00181680" w:rsidRPr="00581F9D" w:rsidRDefault="00181680" w:rsidP="00181680">
      <w:pPr>
        <w:numPr>
          <w:ilvl w:val="0"/>
          <w:numId w:val="1"/>
        </w:numPr>
        <w:spacing w:line="360" w:lineRule="auto"/>
        <w:jc w:val="both"/>
        <w:rPr>
          <w:rFonts w:cs="Arial"/>
          <w:sz w:val="22"/>
          <w:szCs w:val="22"/>
        </w:rPr>
      </w:pPr>
      <w:r w:rsidRPr="00046B4C">
        <w:rPr>
          <w:rFonts w:cs="Arial"/>
          <w:sz w:val="22"/>
          <w:szCs w:val="22"/>
        </w:rPr>
        <w:t>Ubicación del stand asignado:</w:t>
      </w:r>
      <w:r w:rsidRPr="00046B4C">
        <w:rPr>
          <w:rFonts w:cs="Arial"/>
          <w:b/>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0689603E" w14:textId="77777777" w:rsidR="00181680" w:rsidRPr="00046B4C" w:rsidRDefault="00181680" w:rsidP="00181680">
      <w:pPr>
        <w:numPr>
          <w:ilvl w:val="0"/>
          <w:numId w:val="1"/>
        </w:numPr>
        <w:spacing w:line="360" w:lineRule="auto"/>
        <w:jc w:val="both"/>
        <w:rPr>
          <w:rFonts w:cs="Arial"/>
          <w:sz w:val="22"/>
          <w:szCs w:val="22"/>
        </w:rPr>
      </w:pPr>
      <w:r w:rsidRPr="00046B4C">
        <w:rPr>
          <w:rFonts w:cs="Arial"/>
          <w:sz w:val="22"/>
          <w:szCs w:val="22"/>
        </w:rPr>
        <w:t xml:space="preserve">Tipo de producto a exponer: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5F3DEC02" w14:textId="77777777" w:rsidR="00181680" w:rsidRPr="00046B4C" w:rsidRDefault="00181680" w:rsidP="00181680">
      <w:pPr>
        <w:numPr>
          <w:ilvl w:val="0"/>
          <w:numId w:val="1"/>
        </w:numPr>
        <w:spacing w:line="360" w:lineRule="auto"/>
        <w:jc w:val="both"/>
        <w:rPr>
          <w:rFonts w:cs="Arial"/>
          <w:sz w:val="22"/>
          <w:szCs w:val="22"/>
        </w:rPr>
      </w:pPr>
      <w:r w:rsidRPr="00046B4C">
        <w:rPr>
          <w:rFonts w:cs="Arial"/>
          <w:sz w:val="22"/>
          <w:szCs w:val="22"/>
        </w:rPr>
        <w:t xml:space="preserve">Otros comentarios: </w:t>
      </w:r>
      <w:r w:rsidRPr="00046B4C">
        <w:rPr>
          <w:rFonts w:cs="Arial"/>
          <w:b/>
          <w:sz w:val="22"/>
          <w:szCs w:val="22"/>
        </w:rPr>
        <w:fldChar w:fldCharType="begin">
          <w:ffData>
            <w:name w:val="Texto9"/>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6593FF7C" w14:textId="77777777" w:rsidR="00181680" w:rsidRDefault="00181680" w:rsidP="00181680">
      <w:pPr>
        <w:rPr>
          <w:rFonts w:cs="Arial"/>
          <w:sz w:val="22"/>
          <w:szCs w:val="22"/>
        </w:rPr>
      </w:pPr>
    </w:p>
    <w:p w14:paraId="79BD346D" w14:textId="77777777" w:rsidR="00181680" w:rsidRPr="00046B4C" w:rsidRDefault="00181680" w:rsidP="00181680">
      <w:pPr>
        <w:rPr>
          <w:rFonts w:cs="Arial"/>
          <w:sz w:val="22"/>
          <w:szCs w:val="22"/>
        </w:rPr>
      </w:pPr>
    </w:p>
    <w:p w14:paraId="6A912784" w14:textId="77777777" w:rsidR="00181680" w:rsidRPr="00046B4C" w:rsidRDefault="00181680" w:rsidP="00181680">
      <w:pPr>
        <w:rPr>
          <w:rFonts w:cs="Arial"/>
          <w:sz w:val="22"/>
          <w:szCs w:val="22"/>
        </w:rPr>
      </w:pPr>
    </w:p>
    <w:p w14:paraId="5DA5DEC6" w14:textId="77777777" w:rsidR="00181680" w:rsidRPr="00046B4C" w:rsidRDefault="00181680" w:rsidP="00181680">
      <w:pPr>
        <w:pBdr>
          <w:top w:val="single" w:sz="12" w:space="1" w:color="auto"/>
          <w:left w:val="single" w:sz="12" w:space="4" w:color="auto"/>
          <w:bottom w:val="single" w:sz="12" w:space="1" w:color="auto"/>
          <w:right w:val="single" w:sz="12" w:space="4" w:color="auto"/>
        </w:pBdr>
        <w:jc w:val="both"/>
        <w:rPr>
          <w:rFonts w:cs="Arial"/>
          <w:sz w:val="22"/>
          <w:szCs w:val="22"/>
        </w:rPr>
      </w:pPr>
    </w:p>
    <w:p w14:paraId="3F603A61" w14:textId="77777777"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REMITIR A ANIEME DEBIDAMENTE CUMPLIMENTADA </w:t>
      </w:r>
    </w:p>
    <w:p w14:paraId="69AC7D04" w14:textId="2D3AD8A6"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FECHA LÍMITE: </w:t>
      </w:r>
      <w:r w:rsidR="0036678B">
        <w:rPr>
          <w:rFonts w:cs="Arial"/>
          <w:szCs w:val="22"/>
          <w:highlight w:val="yellow"/>
          <w:lang w:val="it-IT"/>
        </w:rPr>
        <w:t>12</w:t>
      </w:r>
      <w:r w:rsidRPr="0059772D">
        <w:rPr>
          <w:rFonts w:cs="Arial"/>
          <w:szCs w:val="22"/>
          <w:highlight w:val="yellow"/>
          <w:lang w:val="it-IT"/>
        </w:rPr>
        <w:t xml:space="preserve"> de </w:t>
      </w:r>
      <w:r w:rsidR="0059772D" w:rsidRPr="0059772D">
        <w:rPr>
          <w:rFonts w:cs="Arial"/>
          <w:szCs w:val="22"/>
          <w:highlight w:val="yellow"/>
          <w:lang w:val="it-IT"/>
        </w:rPr>
        <w:t>julio</w:t>
      </w:r>
      <w:r w:rsidRPr="0059772D">
        <w:rPr>
          <w:rFonts w:cs="Arial"/>
          <w:szCs w:val="22"/>
          <w:highlight w:val="yellow"/>
          <w:lang w:val="it-IT"/>
        </w:rPr>
        <w:t xml:space="preserve"> de 20</w:t>
      </w:r>
      <w:r w:rsidR="0059772D" w:rsidRPr="0059772D">
        <w:rPr>
          <w:rFonts w:cs="Arial"/>
          <w:szCs w:val="22"/>
          <w:highlight w:val="yellow"/>
          <w:lang w:val="it-IT"/>
        </w:rPr>
        <w:t>2</w:t>
      </w:r>
      <w:r w:rsidR="0036678B">
        <w:rPr>
          <w:rFonts w:cs="Arial"/>
          <w:szCs w:val="22"/>
          <w:highlight w:val="yellow"/>
          <w:lang w:val="it-IT"/>
        </w:rPr>
        <w:t>1</w:t>
      </w:r>
    </w:p>
    <w:p w14:paraId="1945043B" w14:textId="77777777"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07C015FE" w14:textId="77777777" w:rsidR="00181680" w:rsidRPr="00046B4C" w:rsidRDefault="00181680" w:rsidP="0018168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E-mail: </w:t>
      </w:r>
      <w:hyperlink r:id="rId13" w:history="1">
        <w:r w:rsidRPr="00046B4C">
          <w:rPr>
            <w:rStyle w:val="Hipervnculo"/>
            <w:rFonts w:cs="Arial"/>
            <w:szCs w:val="22"/>
            <w:lang w:val="it-IT"/>
          </w:rPr>
          <w:t>info@anieme.com</w:t>
        </w:r>
      </w:hyperlink>
      <w:r w:rsidRPr="00046B4C">
        <w:rPr>
          <w:rFonts w:cs="Arial"/>
          <w:szCs w:val="22"/>
          <w:lang w:val="it-IT"/>
        </w:rPr>
        <w:t xml:space="preserve"> </w:t>
      </w:r>
    </w:p>
    <w:p w14:paraId="6F185A7B" w14:textId="77777777" w:rsidR="00181680" w:rsidRPr="00046B4C" w:rsidRDefault="00181680" w:rsidP="00181680">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046B4C">
        <w:rPr>
          <w:rFonts w:cs="Arial"/>
          <w:b/>
          <w:sz w:val="22"/>
          <w:szCs w:val="22"/>
          <w:lang w:val="it-IT"/>
        </w:rPr>
        <w:t xml:space="preserve">Personas de </w:t>
      </w:r>
      <w:r>
        <w:rPr>
          <w:rFonts w:cs="Arial"/>
          <w:b/>
          <w:sz w:val="22"/>
          <w:szCs w:val="22"/>
          <w:lang w:val="it-IT"/>
        </w:rPr>
        <w:t>c</w:t>
      </w:r>
      <w:r w:rsidRPr="00046B4C">
        <w:rPr>
          <w:rFonts w:cs="Arial"/>
          <w:b/>
          <w:sz w:val="22"/>
          <w:szCs w:val="22"/>
          <w:lang w:val="it-IT"/>
        </w:rPr>
        <w:t xml:space="preserve">ontacto: Graciela Soler </w:t>
      </w:r>
      <w:r>
        <w:rPr>
          <w:rFonts w:cs="Arial"/>
          <w:b/>
          <w:sz w:val="22"/>
          <w:szCs w:val="22"/>
          <w:lang w:val="it-IT"/>
        </w:rPr>
        <w:t>/ Sara Martínez</w:t>
      </w:r>
    </w:p>
    <w:p w14:paraId="14541D24" w14:textId="77777777" w:rsidR="00181680" w:rsidRPr="00046B4C" w:rsidRDefault="00181680" w:rsidP="00181680">
      <w:pPr>
        <w:pBdr>
          <w:top w:val="single" w:sz="12" w:space="1" w:color="auto"/>
          <w:left w:val="single" w:sz="12" w:space="4" w:color="auto"/>
          <w:bottom w:val="single" w:sz="12" w:space="1" w:color="auto"/>
          <w:right w:val="single" w:sz="12" w:space="4" w:color="auto"/>
        </w:pBdr>
        <w:jc w:val="both"/>
        <w:rPr>
          <w:rFonts w:cs="Arial"/>
          <w:sz w:val="22"/>
          <w:szCs w:val="22"/>
        </w:rPr>
      </w:pPr>
    </w:p>
    <w:p w14:paraId="79EEBCAD" w14:textId="77777777" w:rsidR="00181680" w:rsidRDefault="00181680" w:rsidP="00181680">
      <w:pPr>
        <w:rPr>
          <w:rFonts w:cs="Arial"/>
          <w:sz w:val="22"/>
          <w:szCs w:val="22"/>
        </w:rPr>
      </w:pPr>
    </w:p>
    <w:p w14:paraId="56C92771" w14:textId="77777777" w:rsidR="00181680" w:rsidRDefault="00181680" w:rsidP="00181680">
      <w:pPr>
        <w:rPr>
          <w:rFonts w:cs="Arial"/>
          <w:sz w:val="22"/>
          <w:szCs w:val="22"/>
        </w:rPr>
      </w:pPr>
    </w:p>
    <w:p w14:paraId="7DFAF7C8" w14:textId="77777777" w:rsidR="00181680" w:rsidRDefault="00181680" w:rsidP="00181680">
      <w:pPr>
        <w:rPr>
          <w:rFonts w:cs="Arial"/>
          <w:sz w:val="22"/>
          <w:szCs w:val="22"/>
        </w:rPr>
      </w:pPr>
    </w:p>
    <w:p w14:paraId="2000BCC7" w14:textId="77777777" w:rsidR="00181680" w:rsidRPr="000D243F" w:rsidRDefault="00181680" w:rsidP="00181680">
      <w:pPr>
        <w:spacing w:after="200" w:line="276" w:lineRule="auto"/>
        <w:rPr>
          <w:rFonts w:cs="Arial"/>
          <w:color w:val="C00000"/>
          <w:sz w:val="20"/>
          <w:szCs w:val="20"/>
          <w:u w:val="single"/>
        </w:rPr>
      </w:pPr>
      <w:r w:rsidRPr="000D243F">
        <w:rPr>
          <w:rStyle w:val="Textoennegrita"/>
          <w:rFonts w:cs="Arial"/>
          <w:color w:val="C00000"/>
          <w:sz w:val="20"/>
          <w:szCs w:val="20"/>
          <w:u w:val="single"/>
        </w:rPr>
        <w:t>POLÍTICA DE PROTECCIÓN DE DATOS PERSONALES</w:t>
      </w:r>
    </w:p>
    <w:p w14:paraId="5756E134"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En virtud del </w:t>
      </w:r>
      <w:r w:rsidRPr="000D243F">
        <w:rPr>
          <w:rFonts w:ascii="Arial" w:hAnsi="Arial" w:cs="Arial"/>
          <w:sz w:val="20"/>
          <w:szCs w:val="20"/>
        </w:rPr>
        <w:t>REGLAMENTO (UE) 2016/679 DEL PARLAMENTO EUROPEO Y DEL CONSEJO de 27 de abril de 2016, la</w:t>
      </w:r>
      <w:r w:rsidRPr="000D243F">
        <w:rPr>
          <w:rFonts w:ascii="Arial" w:hAnsi="Arial" w:cs="Arial"/>
          <w:color w:val="000000"/>
          <w:sz w:val="20"/>
          <w:szCs w:val="20"/>
        </w:rPr>
        <w:t xml:space="preserve"> ASOCIACIÓN NACIONAL DE INDUSTRIALES Y EXPORTADORES DE MUEBLE DE ESPAÑA (en adelante</w:t>
      </w:r>
      <w:r w:rsidRPr="000D243F">
        <w:rPr>
          <w:rStyle w:val="apple-converted-space"/>
          <w:rFonts w:ascii="Arial" w:hAnsi="Arial" w:cs="Arial"/>
          <w:color w:val="000000"/>
          <w:sz w:val="20"/>
          <w:szCs w:val="20"/>
        </w:rPr>
        <w:t> </w:t>
      </w:r>
      <w:r w:rsidRPr="000D243F">
        <w:rPr>
          <w:rFonts w:ascii="Arial" w:hAnsi="Arial" w:cs="Arial"/>
          <w:color w:val="000000"/>
          <w:sz w:val="20"/>
          <w:szCs w:val="20"/>
        </w:rPr>
        <w:t>ANIEME), con domicilio en la C/ Vinatea 22, 1-8º, 46001, Valencia y CIF G28527448, le informa, en su condición de Responsable del Fichero, que al introducir sus datos a través del presente formulario, usted nos proporcionará determinados datos de carácter personal, los cuales serán incorporados a ficheros automatizados titularidad de ANIEME, previamente registrados ante la Agencia Española de Protección de Datos.</w:t>
      </w:r>
    </w:p>
    <w:p w14:paraId="3B0A6999" w14:textId="77777777" w:rsidR="00181680"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br/>
      </w:r>
    </w:p>
    <w:p w14:paraId="1981E707" w14:textId="77777777" w:rsidR="00181680" w:rsidRDefault="00181680" w:rsidP="00181680">
      <w:pPr>
        <w:pStyle w:val="NormalWeb"/>
        <w:spacing w:before="0" w:beforeAutospacing="0" w:after="0" w:afterAutospacing="0"/>
        <w:jc w:val="both"/>
        <w:rPr>
          <w:rFonts w:ascii="Arial" w:hAnsi="Arial" w:cs="Arial"/>
          <w:color w:val="000000"/>
          <w:sz w:val="20"/>
          <w:szCs w:val="20"/>
        </w:rPr>
      </w:pPr>
    </w:p>
    <w:p w14:paraId="2788C638" w14:textId="77777777" w:rsidR="00181680" w:rsidRDefault="00181680" w:rsidP="00181680">
      <w:pPr>
        <w:pStyle w:val="NormalWeb"/>
        <w:spacing w:before="0" w:beforeAutospacing="0" w:after="0" w:afterAutospacing="0"/>
        <w:jc w:val="both"/>
        <w:rPr>
          <w:rFonts w:ascii="Arial" w:hAnsi="Arial" w:cs="Arial"/>
          <w:color w:val="000000"/>
          <w:sz w:val="20"/>
          <w:szCs w:val="20"/>
        </w:rPr>
      </w:pPr>
    </w:p>
    <w:p w14:paraId="4529218B"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La recogida y tratamiento de sus datos personales tiene las siguientes finalidades: permitir la relación administrativa y comercial entre la empresa y la Asociación, así como permitir a la Asociación coordinar con la organización ferial su participación en la feria de referencia. </w:t>
      </w:r>
    </w:p>
    <w:p w14:paraId="55F8AB1C"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3FC9344D"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Por medio de la presente, usted autoriza expresamente a ANIEME al tratamiento de sus datos con el fin de ser utilizados para el envío de promociones publicitarias y prospección comercial a través de cualquier medio, incluidos por m</w:t>
      </w:r>
      <w:r>
        <w:rPr>
          <w:rFonts w:ascii="Arial" w:hAnsi="Arial" w:cs="Arial"/>
          <w:color w:val="000000"/>
          <w:sz w:val="20"/>
          <w:szCs w:val="20"/>
        </w:rPr>
        <w:t>edios electrónicos (e-mail/sms/</w:t>
      </w:r>
      <w:r w:rsidRPr="000D243F">
        <w:rPr>
          <w:rFonts w:ascii="Arial" w:hAnsi="Arial" w:cs="Arial"/>
          <w:color w:val="000000"/>
          <w:sz w:val="20"/>
          <w:szCs w:val="20"/>
        </w:rPr>
        <w:t xml:space="preserve">mensajería </w:t>
      </w:r>
      <w:proofErr w:type="gramStart"/>
      <w:r w:rsidRPr="000D243F">
        <w:rPr>
          <w:rFonts w:ascii="Arial" w:hAnsi="Arial" w:cs="Arial"/>
          <w:color w:val="000000"/>
          <w:sz w:val="20"/>
          <w:szCs w:val="20"/>
        </w:rPr>
        <w:t>instantánea,…</w:t>
      </w:r>
      <w:proofErr w:type="gramEnd"/>
      <w:r w:rsidRPr="000D243F">
        <w:rPr>
          <w:rFonts w:ascii="Arial" w:hAnsi="Arial" w:cs="Arial"/>
          <w:color w:val="000000"/>
          <w:sz w:val="20"/>
          <w:szCs w:val="20"/>
        </w:rPr>
        <w:t>). Se le enviarán comunicaciones comerciales electrónicas sobre nuevas acciones y promociones de las empresas del sector del mueble y la organización de distintas actividades para su promoción. En todo momento podrá revocar el consentimiento inicialmente concedido.</w:t>
      </w:r>
    </w:p>
    <w:p w14:paraId="24E853BA"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7FE0D3AB"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bookmarkStart w:id="7" w:name="Casilla1"/>
      <w:r w:rsidRPr="000D243F">
        <w:rPr>
          <w:rFonts w:ascii="Arial" w:hAnsi="Arial"/>
          <w:sz w:val="20"/>
          <w:szCs w:val="20"/>
        </w:rPr>
        <w:instrText xml:space="preserve"> FORMCHECKBOX </w:instrText>
      </w:r>
      <w:r w:rsidR="00E67CA4">
        <w:rPr>
          <w:rFonts w:ascii="Arial" w:hAnsi="Arial"/>
          <w:sz w:val="20"/>
          <w:szCs w:val="20"/>
        </w:rPr>
      </w:r>
      <w:r w:rsidR="00E67CA4">
        <w:rPr>
          <w:rFonts w:ascii="Arial" w:hAnsi="Arial"/>
          <w:sz w:val="20"/>
          <w:szCs w:val="20"/>
        </w:rPr>
        <w:fldChar w:fldCharType="separate"/>
      </w:r>
      <w:r w:rsidRPr="000D243F">
        <w:rPr>
          <w:rFonts w:ascii="Arial" w:hAnsi="Arial"/>
          <w:sz w:val="20"/>
          <w:szCs w:val="20"/>
        </w:rPr>
        <w:fldChar w:fldCharType="end"/>
      </w:r>
      <w:bookmarkEnd w:id="7"/>
      <w:r w:rsidRPr="000D243F">
        <w:rPr>
          <w:rFonts w:ascii="Arial" w:hAnsi="Arial" w:cs="Arial"/>
          <w:color w:val="000000"/>
          <w:sz w:val="20"/>
          <w:szCs w:val="20"/>
        </w:rPr>
        <w:t xml:space="preserve"> Sí, yo entiendo y autorizo el tratamiento de mis datos de contacto para el envío de comunicaciones comerciales</w:t>
      </w:r>
    </w:p>
    <w:p w14:paraId="6F2543CD"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03A6F2E8"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E67CA4">
        <w:rPr>
          <w:rFonts w:ascii="Arial" w:hAnsi="Arial"/>
          <w:sz w:val="20"/>
          <w:szCs w:val="20"/>
        </w:rPr>
      </w:r>
      <w:r w:rsidR="00E67CA4">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No autorizo el tratamiento de mis datos de contacto para el envío de comunicaciones comerciales  </w:t>
      </w:r>
    </w:p>
    <w:p w14:paraId="36C16342"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34099E90"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Los datos personales suministrados a través del presente formulario serán comunicados a la organización ferial con la finalidad de que puedan contactar con Vds. y poder iniciar una acción comercial conjunta, siempre y cuando usted nos autorice expresamente para ello.</w:t>
      </w:r>
    </w:p>
    <w:p w14:paraId="7014CE01"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692FF871"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E67CA4">
        <w:rPr>
          <w:rFonts w:ascii="Arial" w:hAnsi="Arial"/>
          <w:sz w:val="20"/>
          <w:szCs w:val="20"/>
        </w:rPr>
      </w:r>
      <w:r w:rsidR="00E67CA4">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Sí, yo entiendo y autorizo la comunicación de mis datos de contacto a la organización ferial que coordina la presente acción</w:t>
      </w:r>
    </w:p>
    <w:p w14:paraId="705AFF75"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6E0727BC"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E67CA4">
        <w:rPr>
          <w:rFonts w:ascii="Arial" w:hAnsi="Arial"/>
          <w:sz w:val="20"/>
          <w:szCs w:val="20"/>
        </w:rPr>
      </w:r>
      <w:r w:rsidR="00E67CA4">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No autorizo la comunicación de mis datos de contacto a la organización ferial que coordina la presente acción </w:t>
      </w:r>
    </w:p>
    <w:p w14:paraId="238C3748" w14:textId="77777777" w:rsidR="00181680" w:rsidRPr="000D243F" w:rsidRDefault="00181680" w:rsidP="00181680">
      <w:pPr>
        <w:pStyle w:val="NormalWeb"/>
        <w:spacing w:before="0" w:beforeAutospacing="0" w:after="0" w:afterAutospacing="0"/>
        <w:jc w:val="both"/>
        <w:rPr>
          <w:rFonts w:ascii="Arial" w:hAnsi="Arial" w:cs="Arial"/>
          <w:color w:val="000000"/>
          <w:sz w:val="20"/>
          <w:szCs w:val="20"/>
        </w:rPr>
      </w:pPr>
    </w:p>
    <w:p w14:paraId="553192DB"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roofErr w:type="gramStart"/>
      <w:r w:rsidRPr="00D14158">
        <w:rPr>
          <w:rFonts w:ascii="Arial" w:hAnsi="Arial" w:cs="Arial"/>
          <w:color w:val="000000"/>
          <w:sz w:val="20"/>
          <w:szCs w:val="20"/>
        </w:rPr>
        <w:t>En relación a</w:t>
      </w:r>
      <w:proofErr w:type="gramEnd"/>
      <w:r w:rsidRPr="00D14158">
        <w:rPr>
          <w:rFonts w:ascii="Arial" w:hAnsi="Arial" w:cs="Arial"/>
          <w:color w:val="000000"/>
          <w:sz w:val="20"/>
          <w:szCs w:val="20"/>
        </w:rPr>
        <w:t xml:space="preserve"> la posibilidad de beneficiarse del apoyo económico relacionado con esta actividad, expresamente autoriza a ANIEME para la cesión de sus datos de carácter personal a ICEX o a la Entidad correspondiente con la finalidad de poder optar a la ayuda que conceda el organismo en cuestión.</w:t>
      </w:r>
    </w:p>
    <w:p w14:paraId="69DBC342"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2EDEA3C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Sus datos podrán ser cedidos a </w:t>
      </w:r>
      <w:proofErr w:type="gramStart"/>
      <w:r w:rsidRPr="00D14158">
        <w:rPr>
          <w:rFonts w:ascii="Arial" w:hAnsi="Arial" w:cs="Arial"/>
          <w:color w:val="000000"/>
          <w:sz w:val="20"/>
          <w:szCs w:val="20"/>
        </w:rPr>
        <w:t>ICEX</w:t>
      </w:r>
      <w:proofErr w:type="gramEnd"/>
      <w:r w:rsidRPr="00D14158">
        <w:rPr>
          <w:rFonts w:ascii="Arial" w:hAnsi="Arial" w:cs="Arial"/>
          <w:color w:val="000000"/>
          <w:sz w:val="20"/>
          <w:szCs w:val="20"/>
        </w:rPr>
        <w:t xml:space="preserve">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p>
    <w:p w14:paraId="2E3ECDBC" w14:textId="77777777" w:rsidR="00181680" w:rsidRPr="00D14158" w:rsidRDefault="00181680" w:rsidP="00181680">
      <w:pPr>
        <w:rPr>
          <w:rFonts w:ascii="Tahoma" w:hAnsi="Tahoma" w:cs="Tahoma"/>
          <w:b/>
          <w:bCs/>
          <w:sz w:val="18"/>
          <w:szCs w:val="18"/>
        </w:rPr>
      </w:pPr>
    </w:p>
    <w:p w14:paraId="3A676C1B" w14:textId="77777777" w:rsidR="00181680" w:rsidRPr="00D14158" w:rsidRDefault="00181680" w:rsidP="00181680">
      <w:pPr>
        <w:pStyle w:val="NormalWeb"/>
        <w:spacing w:before="0" w:beforeAutospacing="0" w:after="0" w:afterAutospacing="0"/>
        <w:ind w:left="708"/>
        <w:jc w:val="both"/>
        <w:rPr>
          <w:rFonts w:ascii="Arial" w:hAnsi="Arial" w:cs="Arial"/>
          <w:color w:val="000000"/>
          <w:sz w:val="20"/>
          <w:szCs w:val="20"/>
        </w:rPr>
      </w:pP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E67CA4">
        <w:rPr>
          <w:rFonts w:ascii="Arial" w:hAnsi="Arial"/>
          <w:sz w:val="20"/>
          <w:szCs w:val="20"/>
        </w:rPr>
      </w:r>
      <w:r w:rsidR="00E67CA4">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ICEX o a la Entidad correspondiente.</w:t>
      </w:r>
    </w:p>
    <w:p w14:paraId="2CAB143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3A342620"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E67CA4">
        <w:rPr>
          <w:rFonts w:ascii="Arial" w:hAnsi="Arial"/>
          <w:sz w:val="20"/>
          <w:szCs w:val="20"/>
        </w:rPr>
      </w:r>
      <w:r w:rsidR="00E67CA4">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ICEX o a la Entidad correspondiente.</w:t>
      </w:r>
    </w:p>
    <w:p w14:paraId="7DA77BC7"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1D447F8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En todo momento se podrán ejercitar los derechos de acceso, rectificación, cancelación y oposición enviando su solicitud escrita y firmada dirigida ANIEME acompañando fotocopia de su DNI a ANIEME, C/ Vinatea 22, 1-8º, 46001, Valencia, bajo el asunto de </w:t>
      </w:r>
      <w:proofErr w:type="gramStart"/>
      <w:r w:rsidRPr="00D14158">
        <w:rPr>
          <w:rFonts w:ascii="Arial" w:hAnsi="Arial" w:cs="Arial"/>
          <w:color w:val="000000"/>
          <w:sz w:val="20"/>
          <w:szCs w:val="20"/>
        </w:rPr>
        <w:t>referencia ”Protección</w:t>
      </w:r>
      <w:proofErr w:type="gramEnd"/>
      <w:r w:rsidRPr="00D14158">
        <w:rPr>
          <w:rFonts w:ascii="Arial" w:hAnsi="Arial" w:cs="Arial"/>
          <w:color w:val="000000"/>
          <w:sz w:val="20"/>
          <w:szCs w:val="20"/>
        </w:rPr>
        <w:t xml:space="preserve"> de Datos”.</w:t>
      </w:r>
    </w:p>
    <w:p w14:paraId="67DDFA3E"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49D61B4D"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El responsable del fichero vela por mantener la calidad de los datos que usted nos proporciona, asegurando que sean adecuados, pertinentes y no excesivos para la finalidad legítima del tratamiento.</w:t>
      </w:r>
    </w:p>
    <w:p w14:paraId="35E23FB3"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43B290FE"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usuarios garantizan y responden, en cualquier caso, de la veracidad, exactitud, vigencia, autenticidad, de los Datos Personales proporcionados, y se comprometen a mantenerlos debidamente actualizados.</w:t>
      </w:r>
    </w:p>
    <w:p w14:paraId="34712762" w14:textId="77777777" w:rsidR="00181680" w:rsidRPr="00D14158" w:rsidRDefault="00181680" w:rsidP="00181680">
      <w:pPr>
        <w:pStyle w:val="NormalWeb"/>
        <w:spacing w:before="0" w:beforeAutospacing="0" w:after="0" w:afterAutospacing="0"/>
        <w:jc w:val="both"/>
        <w:rPr>
          <w:rFonts w:ascii="Arial" w:hAnsi="Arial" w:cs="Arial"/>
          <w:color w:val="000000"/>
          <w:sz w:val="20"/>
          <w:szCs w:val="20"/>
        </w:rPr>
      </w:pPr>
    </w:p>
    <w:p w14:paraId="74009C89" w14:textId="77777777" w:rsidR="00181680" w:rsidRPr="00D14158" w:rsidRDefault="00181680" w:rsidP="00181680">
      <w:pPr>
        <w:jc w:val="both"/>
        <w:rPr>
          <w:rFonts w:cs="Arial"/>
          <w:sz w:val="20"/>
          <w:szCs w:val="20"/>
        </w:rPr>
      </w:pPr>
      <w:r w:rsidRPr="00D14158">
        <w:rPr>
          <w:rFonts w:cs="Arial"/>
          <w:sz w:val="20"/>
          <w:szCs w:val="20"/>
        </w:rPr>
        <w:t xml:space="preserve">Nombre: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56822DFA" w14:textId="77777777" w:rsidR="00181680" w:rsidRPr="00D14158" w:rsidRDefault="00181680" w:rsidP="00181680">
      <w:pPr>
        <w:jc w:val="both"/>
        <w:rPr>
          <w:rFonts w:cs="Arial"/>
          <w:sz w:val="20"/>
          <w:szCs w:val="20"/>
        </w:rPr>
      </w:pPr>
    </w:p>
    <w:p w14:paraId="5B2AB38C" w14:textId="77777777" w:rsidR="00181680" w:rsidRPr="002837FF" w:rsidRDefault="00181680" w:rsidP="00181680">
      <w:pPr>
        <w:jc w:val="both"/>
        <w:rPr>
          <w:rFonts w:cs="Arial"/>
          <w:sz w:val="20"/>
          <w:szCs w:val="20"/>
        </w:rPr>
      </w:pPr>
      <w:r w:rsidRPr="00D14158">
        <w:rPr>
          <w:rFonts w:cs="Arial"/>
          <w:sz w:val="20"/>
          <w:szCs w:val="20"/>
        </w:rPr>
        <w:t xml:space="preserve">Fecha: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3D8997DD" w14:textId="77777777" w:rsidR="00181680" w:rsidRPr="00181680" w:rsidRDefault="00181680" w:rsidP="00E40554">
      <w:pPr>
        <w:autoSpaceDE w:val="0"/>
        <w:autoSpaceDN w:val="0"/>
        <w:adjustRightInd w:val="0"/>
        <w:jc w:val="both"/>
        <w:rPr>
          <w:rFonts w:cs="Arial"/>
          <w:color w:val="000000"/>
          <w:sz w:val="22"/>
          <w:szCs w:val="22"/>
        </w:rPr>
      </w:pPr>
    </w:p>
    <w:bookmarkEnd w:id="0"/>
    <w:sectPr w:rsidR="00181680" w:rsidRPr="00181680" w:rsidSect="009443C0">
      <w:headerReference w:type="default" r:id="rId14"/>
      <w:footerReference w:type="default" r:id="rId15"/>
      <w:pgSz w:w="11906" w:h="16838"/>
      <w:pgMar w:top="1417" w:right="1106" w:bottom="1134" w:left="1701"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6B11" w14:textId="77777777" w:rsidR="00304C79" w:rsidRDefault="00304C79">
      <w:r>
        <w:separator/>
      </w:r>
    </w:p>
  </w:endnote>
  <w:endnote w:type="continuationSeparator" w:id="0">
    <w:p w14:paraId="63B04F86" w14:textId="77777777" w:rsidR="00304C79" w:rsidRDefault="0030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4240" w14:textId="77777777" w:rsidR="00304C79" w:rsidRPr="00CB54F7" w:rsidRDefault="00304C79">
    <w:pPr>
      <w:pStyle w:val="Piedepgina"/>
      <w:rPr>
        <w:rFonts w:cs="Arial"/>
        <w:sz w:val="18"/>
        <w:szCs w:val="18"/>
      </w:rPr>
    </w:pPr>
    <w:r w:rsidRPr="00CB54F7">
      <w:rPr>
        <w:rFonts w:eastAsia="Calibri" w:cs="Arial"/>
        <w:sz w:val="18"/>
        <w:szCs w:val="18"/>
      </w:rPr>
      <w:t>Fondo Europeo de Desarrollo Regional</w:t>
    </w:r>
    <w:r w:rsidRPr="00CB54F7">
      <w:rPr>
        <w:rFonts w:eastAsia="Calibri" w:cs="Arial"/>
        <w:sz w:val="18"/>
        <w:szCs w:val="18"/>
      </w:rPr>
      <w:tab/>
    </w:r>
    <w:r w:rsidRPr="00CB54F7">
      <w:rPr>
        <w:rFonts w:eastAsia="Calibri" w:cs="Arial"/>
        <w:sz w:val="18"/>
        <w:szCs w:val="18"/>
      </w:rPr>
      <w:tab/>
      <w:t>Una manera de hacer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6462" w14:textId="77777777" w:rsidR="00304C79" w:rsidRDefault="00304C79">
      <w:r>
        <w:separator/>
      </w:r>
    </w:p>
  </w:footnote>
  <w:footnote w:type="continuationSeparator" w:id="0">
    <w:p w14:paraId="30EC6702" w14:textId="77777777" w:rsidR="00304C79" w:rsidRDefault="0030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B644" w14:textId="771A7781" w:rsidR="00304C79" w:rsidRDefault="00304C79" w:rsidP="00297F01">
    <w:pPr>
      <w:pStyle w:val="Encabezado"/>
      <w:rPr>
        <w:sz w:val="22"/>
      </w:rPr>
    </w:pPr>
    <w:r>
      <w:rPr>
        <w:noProof/>
      </w:rPr>
      <w:drawing>
        <wp:anchor distT="0" distB="0" distL="114300" distR="114300" simplePos="0" relativeHeight="251657216" behindDoc="0" locked="0" layoutInCell="1" allowOverlap="1" wp14:anchorId="08441E22" wp14:editId="1A7E9D5F">
          <wp:simplePos x="0" y="0"/>
          <wp:positionH relativeFrom="column">
            <wp:posOffset>1170940</wp:posOffset>
          </wp:positionH>
          <wp:positionV relativeFrom="paragraph">
            <wp:posOffset>635</wp:posOffset>
          </wp:positionV>
          <wp:extent cx="2262505" cy="395605"/>
          <wp:effectExtent l="0" t="0" r="4445" b="4445"/>
          <wp:wrapThrough wrapText="bothSides">
            <wp:wrapPolygon edited="0">
              <wp:start x="0" y="0"/>
              <wp:lineTo x="0" y="20803"/>
              <wp:lineTo x="21461" y="20803"/>
              <wp:lineTo x="21461" y="0"/>
              <wp:lineTo x="0" y="0"/>
            </wp:wrapPolygon>
          </wp:wrapThrough>
          <wp:docPr id="4" name="Imagen 4" descr="C:\Users\p1058\AppData\Local\Microsoft\Windows\INetCache\Content.Word\icex_gobierno_MINCOTU_denominacion_trazado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58\AppData\Local\Microsoft\Windows\INetCache\Content.Word\icex_gobierno_MINCOTU_denominacion_trazado_s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05B0D2F" wp14:editId="0015A94E">
          <wp:simplePos x="0" y="0"/>
          <wp:positionH relativeFrom="column">
            <wp:posOffset>3739580</wp:posOffset>
          </wp:positionH>
          <wp:positionV relativeFrom="paragraph">
            <wp:posOffset>46323</wp:posOffset>
          </wp:positionV>
          <wp:extent cx="1958400" cy="313200"/>
          <wp:effectExtent l="0" t="0" r="3810" b="0"/>
          <wp:wrapThrough wrapText="bothSides">
            <wp:wrapPolygon edited="0">
              <wp:start x="0" y="0"/>
              <wp:lineTo x="0" y="19716"/>
              <wp:lineTo x="21432" y="19716"/>
              <wp:lineTo x="21432" y="0"/>
              <wp:lineTo x="0" y="0"/>
            </wp:wrapPolygon>
          </wp:wrapThrough>
          <wp:docPr id="5"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4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A0CD805" wp14:editId="39C82AFC">
          <wp:extent cx="588936" cy="475908"/>
          <wp:effectExtent l="0" t="0" r="1905" b="635"/>
          <wp:docPr id="6" name="Imagen 6" descr="logo_FEDE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DER_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145" cy="486582"/>
                  </a:xfrm>
                  <a:prstGeom prst="rect">
                    <a:avLst/>
                  </a:prstGeom>
                  <a:noFill/>
                  <a:ln>
                    <a:noFill/>
                  </a:ln>
                </pic:spPr>
              </pic:pic>
            </a:graphicData>
          </a:graphic>
        </wp:inline>
      </w:drawing>
    </w:r>
    <w:r>
      <w:rPr>
        <w:sz w:val="22"/>
      </w:rPr>
      <w:t xml:space="preserve">   </w:t>
    </w:r>
    <w:r w:rsidR="00FA270B">
      <w:rPr>
        <w:sz w:val="22"/>
      </w:rPr>
      <w:t xml:space="preserve">   </w:t>
    </w:r>
    <w:r>
      <w:rPr>
        <w:sz w:val="22"/>
      </w:rPr>
      <w:t xml:space="preserve">                         </w:t>
    </w:r>
  </w:p>
  <w:p w14:paraId="347A11C4" w14:textId="77777777" w:rsidR="00304C79" w:rsidRDefault="00304C79" w:rsidP="00224D42">
    <w:pPr>
      <w:pStyle w:val="Encabezad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8D"/>
    <w:multiLevelType w:val="hybridMultilevel"/>
    <w:tmpl w:val="CF0CB2C0"/>
    <w:lvl w:ilvl="0" w:tplc="F9EA46F4">
      <w:start w:val="1"/>
      <w:numFmt w:val="bullet"/>
      <w:lvlText w:val="·"/>
      <w:lvlJc w:val="left"/>
      <w:pPr>
        <w:ind w:hanging="360"/>
      </w:pPr>
      <w:rPr>
        <w:rFonts w:ascii="Wingdings" w:eastAsia="Wingdings" w:hAnsi="Wingdings" w:hint="default"/>
        <w:color w:val="0562C1"/>
        <w:w w:val="51"/>
        <w:sz w:val="22"/>
        <w:szCs w:val="22"/>
      </w:rPr>
    </w:lvl>
    <w:lvl w:ilvl="1" w:tplc="7092EDC8">
      <w:start w:val="1"/>
      <w:numFmt w:val="bullet"/>
      <w:lvlText w:val="•"/>
      <w:lvlJc w:val="left"/>
      <w:rPr>
        <w:rFonts w:hint="default"/>
      </w:rPr>
    </w:lvl>
    <w:lvl w:ilvl="2" w:tplc="C04E0694">
      <w:start w:val="1"/>
      <w:numFmt w:val="bullet"/>
      <w:lvlText w:val="•"/>
      <w:lvlJc w:val="left"/>
      <w:rPr>
        <w:rFonts w:hint="default"/>
      </w:rPr>
    </w:lvl>
    <w:lvl w:ilvl="3" w:tplc="BF548EE0">
      <w:start w:val="1"/>
      <w:numFmt w:val="bullet"/>
      <w:lvlText w:val="•"/>
      <w:lvlJc w:val="left"/>
      <w:rPr>
        <w:rFonts w:hint="default"/>
      </w:rPr>
    </w:lvl>
    <w:lvl w:ilvl="4" w:tplc="BF884250">
      <w:start w:val="1"/>
      <w:numFmt w:val="bullet"/>
      <w:lvlText w:val="•"/>
      <w:lvlJc w:val="left"/>
      <w:rPr>
        <w:rFonts w:hint="default"/>
      </w:rPr>
    </w:lvl>
    <w:lvl w:ilvl="5" w:tplc="69068F66">
      <w:start w:val="1"/>
      <w:numFmt w:val="bullet"/>
      <w:lvlText w:val="•"/>
      <w:lvlJc w:val="left"/>
      <w:rPr>
        <w:rFonts w:hint="default"/>
      </w:rPr>
    </w:lvl>
    <w:lvl w:ilvl="6" w:tplc="ADF2AC70">
      <w:start w:val="1"/>
      <w:numFmt w:val="bullet"/>
      <w:lvlText w:val="•"/>
      <w:lvlJc w:val="left"/>
      <w:rPr>
        <w:rFonts w:hint="default"/>
      </w:rPr>
    </w:lvl>
    <w:lvl w:ilvl="7" w:tplc="B8DA20CE">
      <w:start w:val="1"/>
      <w:numFmt w:val="bullet"/>
      <w:lvlText w:val="•"/>
      <w:lvlJc w:val="left"/>
      <w:rPr>
        <w:rFonts w:hint="default"/>
      </w:rPr>
    </w:lvl>
    <w:lvl w:ilvl="8" w:tplc="FFECC3EA">
      <w:start w:val="1"/>
      <w:numFmt w:val="bullet"/>
      <w:lvlText w:val="•"/>
      <w:lvlJc w:val="left"/>
      <w:rPr>
        <w:rFonts w:hint="default"/>
      </w:rPr>
    </w:lvl>
  </w:abstractNum>
  <w:abstractNum w:abstractNumId="1" w15:restartNumberingAfterBreak="0">
    <w:nsid w:val="090B20E5"/>
    <w:multiLevelType w:val="hybridMultilevel"/>
    <w:tmpl w:val="4CBEAA6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D75766"/>
    <w:multiLevelType w:val="hybridMultilevel"/>
    <w:tmpl w:val="5754B9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BF0B78"/>
    <w:multiLevelType w:val="hybridMultilevel"/>
    <w:tmpl w:val="5F048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B2FB5"/>
    <w:multiLevelType w:val="hybridMultilevel"/>
    <w:tmpl w:val="DF0A3C34"/>
    <w:lvl w:ilvl="0" w:tplc="595A4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D52443"/>
    <w:multiLevelType w:val="hybridMultilevel"/>
    <w:tmpl w:val="7FF2F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C4C4B"/>
    <w:multiLevelType w:val="hybridMultilevel"/>
    <w:tmpl w:val="81700AF2"/>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3A6C8B"/>
    <w:multiLevelType w:val="hybridMultilevel"/>
    <w:tmpl w:val="85FA383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F13CA6"/>
    <w:multiLevelType w:val="hybridMultilevel"/>
    <w:tmpl w:val="BA26F9CE"/>
    <w:lvl w:ilvl="0" w:tplc="0C0A0005">
      <w:start w:val="1"/>
      <w:numFmt w:val="bullet"/>
      <w:lvlText w:val=""/>
      <w:lvlJc w:val="left"/>
      <w:pPr>
        <w:ind w:left="812" w:hanging="360"/>
      </w:pPr>
      <w:rPr>
        <w:rFonts w:ascii="Wingdings" w:hAnsi="Wingdings" w:hint="default"/>
      </w:rPr>
    </w:lvl>
    <w:lvl w:ilvl="1" w:tplc="0C0A0003">
      <w:start w:val="1"/>
      <w:numFmt w:val="bullet"/>
      <w:lvlText w:val="o"/>
      <w:lvlJc w:val="left"/>
      <w:pPr>
        <w:ind w:left="1532" w:hanging="360"/>
      </w:pPr>
      <w:rPr>
        <w:rFonts w:ascii="Courier New" w:hAnsi="Courier New" w:cs="Courier New" w:hint="default"/>
      </w:rPr>
    </w:lvl>
    <w:lvl w:ilvl="2" w:tplc="0C0A0005">
      <w:start w:val="1"/>
      <w:numFmt w:val="bullet"/>
      <w:lvlText w:val=""/>
      <w:lvlJc w:val="left"/>
      <w:pPr>
        <w:ind w:left="2252" w:hanging="360"/>
      </w:pPr>
      <w:rPr>
        <w:rFonts w:ascii="Wingdings" w:hAnsi="Wingdings" w:hint="default"/>
      </w:rPr>
    </w:lvl>
    <w:lvl w:ilvl="3" w:tplc="0C0A0001">
      <w:start w:val="1"/>
      <w:numFmt w:val="bullet"/>
      <w:lvlText w:val=""/>
      <w:lvlJc w:val="left"/>
      <w:pPr>
        <w:ind w:left="2972" w:hanging="360"/>
      </w:pPr>
      <w:rPr>
        <w:rFonts w:ascii="Symbol" w:hAnsi="Symbol" w:hint="default"/>
      </w:rPr>
    </w:lvl>
    <w:lvl w:ilvl="4" w:tplc="0C0A0003">
      <w:start w:val="1"/>
      <w:numFmt w:val="bullet"/>
      <w:lvlText w:val="o"/>
      <w:lvlJc w:val="left"/>
      <w:pPr>
        <w:ind w:left="3692" w:hanging="360"/>
      </w:pPr>
      <w:rPr>
        <w:rFonts w:ascii="Courier New" w:hAnsi="Courier New" w:cs="Courier New" w:hint="default"/>
      </w:rPr>
    </w:lvl>
    <w:lvl w:ilvl="5" w:tplc="0C0A0005">
      <w:start w:val="1"/>
      <w:numFmt w:val="bullet"/>
      <w:lvlText w:val=""/>
      <w:lvlJc w:val="left"/>
      <w:pPr>
        <w:ind w:left="4412" w:hanging="360"/>
      </w:pPr>
      <w:rPr>
        <w:rFonts w:ascii="Wingdings" w:hAnsi="Wingdings" w:hint="default"/>
      </w:rPr>
    </w:lvl>
    <w:lvl w:ilvl="6" w:tplc="0C0A0001">
      <w:start w:val="1"/>
      <w:numFmt w:val="bullet"/>
      <w:lvlText w:val=""/>
      <w:lvlJc w:val="left"/>
      <w:pPr>
        <w:ind w:left="5132" w:hanging="360"/>
      </w:pPr>
      <w:rPr>
        <w:rFonts w:ascii="Symbol" w:hAnsi="Symbol" w:hint="default"/>
      </w:rPr>
    </w:lvl>
    <w:lvl w:ilvl="7" w:tplc="0C0A0003">
      <w:start w:val="1"/>
      <w:numFmt w:val="bullet"/>
      <w:lvlText w:val="o"/>
      <w:lvlJc w:val="left"/>
      <w:pPr>
        <w:ind w:left="5852" w:hanging="360"/>
      </w:pPr>
      <w:rPr>
        <w:rFonts w:ascii="Courier New" w:hAnsi="Courier New" w:cs="Courier New" w:hint="default"/>
      </w:rPr>
    </w:lvl>
    <w:lvl w:ilvl="8" w:tplc="0C0A0005">
      <w:start w:val="1"/>
      <w:numFmt w:val="bullet"/>
      <w:lvlText w:val=""/>
      <w:lvlJc w:val="left"/>
      <w:pPr>
        <w:ind w:left="6572" w:hanging="360"/>
      </w:pPr>
      <w:rPr>
        <w:rFonts w:ascii="Wingdings" w:hAnsi="Wingdings" w:hint="default"/>
      </w:rPr>
    </w:lvl>
  </w:abstractNum>
  <w:abstractNum w:abstractNumId="10" w15:restartNumberingAfterBreak="0">
    <w:nsid w:val="2EC9054B"/>
    <w:multiLevelType w:val="hybridMultilevel"/>
    <w:tmpl w:val="865A900C"/>
    <w:lvl w:ilvl="0" w:tplc="0C0A0005">
      <w:start w:val="1"/>
      <w:numFmt w:val="bullet"/>
      <w:lvlText w:val=""/>
      <w:lvlJc w:val="left"/>
      <w:pPr>
        <w:ind w:left="1854" w:hanging="360"/>
      </w:pPr>
      <w:rPr>
        <w:rFonts w:ascii="Wingdings" w:hAnsi="Wingdings" w:hint="default"/>
      </w:rPr>
    </w:lvl>
    <w:lvl w:ilvl="1" w:tplc="0C0A0003">
      <w:start w:val="1"/>
      <w:numFmt w:val="bullet"/>
      <w:lvlText w:val="o"/>
      <w:lvlJc w:val="left"/>
      <w:pPr>
        <w:ind w:left="2574" w:hanging="360"/>
      </w:pPr>
      <w:rPr>
        <w:rFonts w:ascii="Courier New" w:hAnsi="Courier New" w:cs="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cs="Courier New" w:hint="default"/>
      </w:rPr>
    </w:lvl>
    <w:lvl w:ilvl="5" w:tplc="0C0A0005">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start w:val="1"/>
      <w:numFmt w:val="bullet"/>
      <w:lvlText w:val="o"/>
      <w:lvlJc w:val="left"/>
      <w:pPr>
        <w:ind w:left="6894" w:hanging="360"/>
      </w:pPr>
      <w:rPr>
        <w:rFonts w:ascii="Courier New" w:hAnsi="Courier New" w:cs="Courier New" w:hint="default"/>
      </w:rPr>
    </w:lvl>
    <w:lvl w:ilvl="8" w:tplc="0C0A0005">
      <w:start w:val="1"/>
      <w:numFmt w:val="bullet"/>
      <w:lvlText w:val=""/>
      <w:lvlJc w:val="left"/>
      <w:pPr>
        <w:ind w:left="7614" w:hanging="360"/>
      </w:pPr>
      <w:rPr>
        <w:rFonts w:ascii="Wingdings" w:hAnsi="Wingdings" w:hint="default"/>
      </w:rPr>
    </w:lvl>
  </w:abstractNum>
  <w:abstractNum w:abstractNumId="11" w15:restartNumberingAfterBreak="0">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6B0E1B"/>
    <w:multiLevelType w:val="hybridMultilevel"/>
    <w:tmpl w:val="989ABC20"/>
    <w:lvl w:ilvl="0" w:tplc="8CC6EF88">
      <w:start w:val="1"/>
      <w:numFmt w:val="bullet"/>
      <w:lvlText w:val="·"/>
      <w:lvlJc w:val="left"/>
      <w:pPr>
        <w:ind w:hanging="360"/>
      </w:pPr>
      <w:rPr>
        <w:rFonts w:ascii="Wingdings" w:eastAsia="Wingdings" w:hAnsi="Wingdings" w:hint="default"/>
        <w:w w:val="51"/>
        <w:sz w:val="22"/>
        <w:szCs w:val="22"/>
      </w:rPr>
    </w:lvl>
    <w:lvl w:ilvl="1" w:tplc="F7D0A50A">
      <w:start w:val="1"/>
      <w:numFmt w:val="bullet"/>
      <w:lvlText w:val="•"/>
      <w:lvlJc w:val="left"/>
      <w:rPr>
        <w:rFonts w:hint="default"/>
      </w:rPr>
    </w:lvl>
    <w:lvl w:ilvl="2" w:tplc="0DBE80CC">
      <w:start w:val="1"/>
      <w:numFmt w:val="bullet"/>
      <w:lvlText w:val="•"/>
      <w:lvlJc w:val="left"/>
      <w:rPr>
        <w:rFonts w:hint="default"/>
      </w:rPr>
    </w:lvl>
    <w:lvl w:ilvl="3" w:tplc="ACACB4C8">
      <w:start w:val="1"/>
      <w:numFmt w:val="bullet"/>
      <w:lvlText w:val="•"/>
      <w:lvlJc w:val="left"/>
      <w:rPr>
        <w:rFonts w:hint="default"/>
      </w:rPr>
    </w:lvl>
    <w:lvl w:ilvl="4" w:tplc="DA7A0352">
      <w:start w:val="1"/>
      <w:numFmt w:val="bullet"/>
      <w:lvlText w:val="•"/>
      <w:lvlJc w:val="left"/>
      <w:rPr>
        <w:rFonts w:hint="default"/>
      </w:rPr>
    </w:lvl>
    <w:lvl w:ilvl="5" w:tplc="9F66B60C">
      <w:start w:val="1"/>
      <w:numFmt w:val="bullet"/>
      <w:lvlText w:val="•"/>
      <w:lvlJc w:val="left"/>
      <w:rPr>
        <w:rFonts w:hint="default"/>
      </w:rPr>
    </w:lvl>
    <w:lvl w:ilvl="6" w:tplc="654456BC">
      <w:start w:val="1"/>
      <w:numFmt w:val="bullet"/>
      <w:lvlText w:val="•"/>
      <w:lvlJc w:val="left"/>
      <w:rPr>
        <w:rFonts w:hint="default"/>
      </w:rPr>
    </w:lvl>
    <w:lvl w:ilvl="7" w:tplc="C554B50E">
      <w:start w:val="1"/>
      <w:numFmt w:val="bullet"/>
      <w:lvlText w:val="•"/>
      <w:lvlJc w:val="left"/>
      <w:rPr>
        <w:rFonts w:hint="default"/>
      </w:rPr>
    </w:lvl>
    <w:lvl w:ilvl="8" w:tplc="49083A4C">
      <w:start w:val="1"/>
      <w:numFmt w:val="bullet"/>
      <w:lvlText w:val="•"/>
      <w:lvlJc w:val="left"/>
      <w:rPr>
        <w:rFonts w:hint="default"/>
      </w:rPr>
    </w:lvl>
  </w:abstractNum>
  <w:abstractNum w:abstractNumId="13" w15:restartNumberingAfterBreak="0">
    <w:nsid w:val="38B70958"/>
    <w:multiLevelType w:val="hybridMultilevel"/>
    <w:tmpl w:val="45C04CF4"/>
    <w:lvl w:ilvl="0" w:tplc="B2A26BEC">
      <w:start w:val="1"/>
      <w:numFmt w:val="bullet"/>
      <w:lvlText w:val="·"/>
      <w:lvlJc w:val="left"/>
      <w:pPr>
        <w:ind w:hanging="360"/>
      </w:pPr>
      <w:rPr>
        <w:rFonts w:ascii="Symbol" w:eastAsia="Symbol" w:hAnsi="Symbol" w:hint="default"/>
        <w:w w:val="76"/>
        <w:sz w:val="22"/>
        <w:szCs w:val="22"/>
      </w:rPr>
    </w:lvl>
    <w:lvl w:ilvl="1" w:tplc="C218B1C8">
      <w:start w:val="1"/>
      <w:numFmt w:val="bullet"/>
      <w:lvlText w:val="o"/>
      <w:lvlJc w:val="left"/>
      <w:pPr>
        <w:ind w:hanging="360"/>
      </w:pPr>
      <w:rPr>
        <w:rFonts w:ascii="Courier New" w:eastAsia="Courier New" w:hAnsi="Courier New" w:hint="default"/>
        <w:sz w:val="22"/>
        <w:szCs w:val="22"/>
      </w:rPr>
    </w:lvl>
    <w:lvl w:ilvl="2" w:tplc="B7885740">
      <w:start w:val="1"/>
      <w:numFmt w:val="bullet"/>
      <w:lvlText w:val="•"/>
      <w:lvlJc w:val="left"/>
      <w:rPr>
        <w:rFonts w:hint="default"/>
      </w:rPr>
    </w:lvl>
    <w:lvl w:ilvl="3" w:tplc="B33ED5E4">
      <w:start w:val="1"/>
      <w:numFmt w:val="bullet"/>
      <w:lvlText w:val="•"/>
      <w:lvlJc w:val="left"/>
      <w:rPr>
        <w:rFonts w:hint="default"/>
      </w:rPr>
    </w:lvl>
    <w:lvl w:ilvl="4" w:tplc="4532ECAE">
      <w:start w:val="1"/>
      <w:numFmt w:val="bullet"/>
      <w:lvlText w:val="•"/>
      <w:lvlJc w:val="left"/>
      <w:rPr>
        <w:rFonts w:hint="default"/>
      </w:rPr>
    </w:lvl>
    <w:lvl w:ilvl="5" w:tplc="7C762D48">
      <w:start w:val="1"/>
      <w:numFmt w:val="bullet"/>
      <w:lvlText w:val="•"/>
      <w:lvlJc w:val="left"/>
      <w:rPr>
        <w:rFonts w:hint="default"/>
      </w:rPr>
    </w:lvl>
    <w:lvl w:ilvl="6" w:tplc="6AAEF482">
      <w:start w:val="1"/>
      <w:numFmt w:val="bullet"/>
      <w:lvlText w:val="•"/>
      <w:lvlJc w:val="left"/>
      <w:rPr>
        <w:rFonts w:hint="default"/>
      </w:rPr>
    </w:lvl>
    <w:lvl w:ilvl="7" w:tplc="BC3E0FB4">
      <w:start w:val="1"/>
      <w:numFmt w:val="bullet"/>
      <w:lvlText w:val="•"/>
      <w:lvlJc w:val="left"/>
      <w:rPr>
        <w:rFonts w:hint="default"/>
      </w:rPr>
    </w:lvl>
    <w:lvl w:ilvl="8" w:tplc="EACC1DDE">
      <w:start w:val="1"/>
      <w:numFmt w:val="bullet"/>
      <w:lvlText w:val="•"/>
      <w:lvlJc w:val="left"/>
      <w:rPr>
        <w:rFonts w:hint="default"/>
      </w:rPr>
    </w:lvl>
  </w:abstractNum>
  <w:abstractNum w:abstractNumId="14" w15:restartNumberingAfterBreak="0">
    <w:nsid w:val="393D1A47"/>
    <w:multiLevelType w:val="hybridMultilevel"/>
    <w:tmpl w:val="86A044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6" w15:restartNumberingAfterBreak="0">
    <w:nsid w:val="3C235112"/>
    <w:multiLevelType w:val="hybridMultilevel"/>
    <w:tmpl w:val="D6B46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2182F"/>
    <w:multiLevelType w:val="hybridMultilevel"/>
    <w:tmpl w:val="69963640"/>
    <w:lvl w:ilvl="0" w:tplc="05BC4FA6">
      <w:start w:val="1"/>
      <w:numFmt w:val="bullet"/>
      <w:lvlText w:val=""/>
      <w:lvlJc w:val="left"/>
      <w:pPr>
        <w:tabs>
          <w:tab w:val="num" w:pos="2148"/>
        </w:tabs>
        <w:ind w:left="214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470A3"/>
    <w:multiLevelType w:val="hybridMultilevel"/>
    <w:tmpl w:val="2EA6F286"/>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0947A0"/>
    <w:multiLevelType w:val="hybridMultilevel"/>
    <w:tmpl w:val="103058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8D85320"/>
    <w:multiLevelType w:val="hybridMultilevel"/>
    <w:tmpl w:val="5C5A7D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3C3151"/>
    <w:multiLevelType w:val="hybridMultilevel"/>
    <w:tmpl w:val="79B21CAE"/>
    <w:lvl w:ilvl="0" w:tplc="0C0A0005">
      <w:start w:val="1"/>
      <w:numFmt w:val="bullet"/>
      <w:lvlText w:val=""/>
      <w:lvlJc w:val="left"/>
      <w:pPr>
        <w:tabs>
          <w:tab w:val="num" w:pos="2148"/>
        </w:tabs>
        <w:ind w:left="214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0A3396"/>
    <w:multiLevelType w:val="hybridMultilevel"/>
    <w:tmpl w:val="07C8F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6604D2"/>
    <w:multiLevelType w:val="hybridMultilevel"/>
    <w:tmpl w:val="1FD0EB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B05836"/>
    <w:multiLevelType w:val="hybridMultilevel"/>
    <w:tmpl w:val="D59A1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1B0832"/>
    <w:multiLevelType w:val="hybridMultilevel"/>
    <w:tmpl w:val="1798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132F3C"/>
    <w:multiLevelType w:val="hybridMultilevel"/>
    <w:tmpl w:val="80DA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B66CE8"/>
    <w:multiLevelType w:val="hybridMultilevel"/>
    <w:tmpl w:val="88B059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3A83B58"/>
    <w:multiLevelType w:val="hybridMultilevel"/>
    <w:tmpl w:val="DF2C50C6"/>
    <w:lvl w:ilvl="0" w:tplc="99D4029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C8A119E"/>
    <w:multiLevelType w:val="hybridMultilevel"/>
    <w:tmpl w:val="054C92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3"/>
  </w:num>
  <w:num w:numId="3">
    <w:abstractNumId w:val="11"/>
  </w:num>
  <w:num w:numId="4">
    <w:abstractNumId w:val="15"/>
  </w:num>
  <w:num w:numId="5">
    <w:abstractNumId w:val="9"/>
  </w:num>
  <w:num w:numId="6">
    <w:abstractNumId w:val="17"/>
  </w:num>
  <w:num w:numId="7">
    <w:abstractNumId w:val="21"/>
  </w:num>
  <w:num w:numId="8">
    <w:abstractNumId w:val="24"/>
  </w:num>
  <w:num w:numId="9">
    <w:abstractNumId w:val="3"/>
  </w:num>
  <w:num w:numId="10">
    <w:abstractNumId w:val="28"/>
  </w:num>
  <w:num w:numId="11">
    <w:abstractNumId w:val="14"/>
  </w:num>
  <w:num w:numId="12">
    <w:abstractNumId w:val="19"/>
  </w:num>
  <w:num w:numId="13">
    <w:abstractNumId w:val="10"/>
  </w:num>
  <w:num w:numId="14">
    <w:abstractNumId w:val="26"/>
  </w:num>
  <w:num w:numId="15">
    <w:abstractNumId w:val="29"/>
  </w:num>
  <w:num w:numId="16">
    <w:abstractNumId w:val="27"/>
  </w:num>
  <w:num w:numId="17">
    <w:abstractNumId w:val="7"/>
  </w:num>
  <w:num w:numId="18">
    <w:abstractNumId w:val="22"/>
  </w:num>
  <w:num w:numId="19">
    <w:abstractNumId w:val="18"/>
  </w:num>
  <w:num w:numId="20">
    <w:abstractNumId w:val="6"/>
  </w:num>
  <w:num w:numId="21">
    <w:abstractNumId w:val="25"/>
  </w:num>
  <w:num w:numId="22">
    <w:abstractNumId w:val="4"/>
  </w:num>
  <w:num w:numId="23">
    <w:abstractNumId w:val="1"/>
  </w:num>
  <w:num w:numId="24">
    <w:abstractNumId w:val="12"/>
  </w:num>
  <w:num w:numId="25">
    <w:abstractNumId w:val="0"/>
  </w:num>
  <w:num w:numId="26">
    <w:abstractNumId w:val="13"/>
  </w:num>
  <w:num w:numId="27">
    <w:abstractNumId w:val="16"/>
  </w:num>
  <w:num w:numId="28">
    <w:abstractNumId w:val="8"/>
  </w:num>
  <w:num w:numId="29">
    <w:abstractNumId w:val="20"/>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rawingGridHorizontalSpacing w:val="181"/>
  <w:drawingGridVerticalSpacing w:val="181"/>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5B"/>
    <w:rsid w:val="00004DAB"/>
    <w:rsid w:val="00011791"/>
    <w:rsid w:val="00014E83"/>
    <w:rsid w:val="000330FD"/>
    <w:rsid w:val="00041FC4"/>
    <w:rsid w:val="000450E1"/>
    <w:rsid w:val="00046B4C"/>
    <w:rsid w:val="00046E84"/>
    <w:rsid w:val="000524CD"/>
    <w:rsid w:val="00055C87"/>
    <w:rsid w:val="00065C46"/>
    <w:rsid w:val="00080A4B"/>
    <w:rsid w:val="00081833"/>
    <w:rsid w:val="00083BC4"/>
    <w:rsid w:val="00097DC6"/>
    <w:rsid w:val="000A3139"/>
    <w:rsid w:val="000B4799"/>
    <w:rsid w:val="000B4F41"/>
    <w:rsid w:val="000B51A6"/>
    <w:rsid w:val="000B7AF2"/>
    <w:rsid w:val="000C337C"/>
    <w:rsid w:val="000C5ED7"/>
    <w:rsid w:val="000F1778"/>
    <w:rsid w:val="000F2998"/>
    <w:rsid w:val="001054D8"/>
    <w:rsid w:val="00105E20"/>
    <w:rsid w:val="0011188C"/>
    <w:rsid w:val="00114F9A"/>
    <w:rsid w:val="001248A6"/>
    <w:rsid w:val="001259BB"/>
    <w:rsid w:val="00133BC1"/>
    <w:rsid w:val="00143A4D"/>
    <w:rsid w:val="0015406E"/>
    <w:rsid w:val="001546F5"/>
    <w:rsid w:val="001678A9"/>
    <w:rsid w:val="00181680"/>
    <w:rsid w:val="00193F6C"/>
    <w:rsid w:val="001965AF"/>
    <w:rsid w:val="00197DE9"/>
    <w:rsid w:val="001A3229"/>
    <w:rsid w:val="001B6435"/>
    <w:rsid w:val="001C2AC5"/>
    <w:rsid w:val="001C6FF0"/>
    <w:rsid w:val="001D06CE"/>
    <w:rsid w:val="001D53F7"/>
    <w:rsid w:val="001E2E85"/>
    <w:rsid w:val="001E7721"/>
    <w:rsid w:val="001F37E1"/>
    <w:rsid w:val="001F3FDB"/>
    <w:rsid w:val="00205E84"/>
    <w:rsid w:val="002102B7"/>
    <w:rsid w:val="00224D42"/>
    <w:rsid w:val="00225D08"/>
    <w:rsid w:val="00233AC8"/>
    <w:rsid w:val="00243596"/>
    <w:rsid w:val="00256098"/>
    <w:rsid w:val="0026076B"/>
    <w:rsid w:val="002636AF"/>
    <w:rsid w:val="00265248"/>
    <w:rsid w:val="00281928"/>
    <w:rsid w:val="00282FF6"/>
    <w:rsid w:val="002837FF"/>
    <w:rsid w:val="0028510B"/>
    <w:rsid w:val="00297F01"/>
    <w:rsid w:val="002A1D24"/>
    <w:rsid w:val="002B0D14"/>
    <w:rsid w:val="002B2FF7"/>
    <w:rsid w:val="002B728D"/>
    <w:rsid w:val="002C39F7"/>
    <w:rsid w:val="002C49FE"/>
    <w:rsid w:val="002C6995"/>
    <w:rsid w:val="002D2019"/>
    <w:rsid w:val="002D3C45"/>
    <w:rsid w:val="002D5BB6"/>
    <w:rsid w:val="002F620C"/>
    <w:rsid w:val="002F648A"/>
    <w:rsid w:val="003007BA"/>
    <w:rsid w:val="00303CB7"/>
    <w:rsid w:val="00304C79"/>
    <w:rsid w:val="00311950"/>
    <w:rsid w:val="00313F30"/>
    <w:rsid w:val="00315E73"/>
    <w:rsid w:val="0032377E"/>
    <w:rsid w:val="003329D3"/>
    <w:rsid w:val="0034163E"/>
    <w:rsid w:val="0034505B"/>
    <w:rsid w:val="003464B4"/>
    <w:rsid w:val="003503FF"/>
    <w:rsid w:val="00354216"/>
    <w:rsid w:val="00355E44"/>
    <w:rsid w:val="0036678B"/>
    <w:rsid w:val="00370BC1"/>
    <w:rsid w:val="00371673"/>
    <w:rsid w:val="00371F58"/>
    <w:rsid w:val="00372BA0"/>
    <w:rsid w:val="00376C80"/>
    <w:rsid w:val="0039092F"/>
    <w:rsid w:val="003956A0"/>
    <w:rsid w:val="003B4BC1"/>
    <w:rsid w:val="003C7D56"/>
    <w:rsid w:val="003D0A5F"/>
    <w:rsid w:val="004018D5"/>
    <w:rsid w:val="004114DD"/>
    <w:rsid w:val="00411B54"/>
    <w:rsid w:val="00421B0A"/>
    <w:rsid w:val="0044771B"/>
    <w:rsid w:val="00450449"/>
    <w:rsid w:val="00451B55"/>
    <w:rsid w:val="00452591"/>
    <w:rsid w:val="00461F19"/>
    <w:rsid w:val="00462188"/>
    <w:rsid w:val="00465DF1"/>
    <w:rsid w:val="004852FB"/>
    <w:rsid w:val="004912DE"/>
    <w:rsid w:val="00497F06"/>
    <w:rsid w:val="004B72B6"/>
    <w:rsid w:val="004D30AB"/>
    <w:rsid w:val="004E40C2"/>
    <w:rsid w:val="004E6FA4"/>
    <w:rsid w:val="004E703F"/>
    <w:rsid w:val="004F03D8"/>
    <w:rsid w:val="004F62B0"/>
    <w:rsid w:val="00503136"/>
    <w:rsid w:val="005037B1"/>
    <w:rsid w:val="00503D12"/>
    <w:rsid w:val="005220FC"/>
    <w:rsid w:val="0052554F"/>
    <w:rsid w:val="005274FB"/>
    <w:rsid w:val="00530887"/>
    <w:rsid w:val="00536B51"/>
    <w:rsid w:val="00555525"/>
    <w:rsid w:val="00565D24"/>
    <w:rsid w:val="005661CB"/>
    <w:rsid w:val="00567CB0"/>
    <w:rsid w:val="00567DF7"/>
    <w:rsid w:val="00567E6D"/>
    <w:rsid w:val="00570CA6"/>
    <w:rsid w:val="00575955"/>
    <w:rsid w:val="00581F9D"/>
    <w:rsid w:val="00584B41"/>
    <w:rsid w:val="00587855"/>
    <w:rsid w:val="00597103"/>
    <w:rsid w:val="0059772D"/>
    <w:rsid w:val="005A085B"/>
    <w:rsid w:val="005A684F"/>
    <w:rsid w:val="005A79FD"/>
    <w:rsid w:val="005B66F3"/>
    <w:rsid w:val="005C16D1"/>
    <w:rsid w:val="005C26FD"/>
    <w:rsid w:val="005C6322"/>
    <w:rsid w:val="005C6B1B"/>
    <w:rsid w:val="005F2536"/>
    <w:rsid w:val="005F26C4"/>
    <w:rsid w:val="005F6629"/>
    <w:rsid w:val="005F7432"/>
    <w:rsid w:val="00602598"/>
    <w:rsid w:val="00605A3B"/>
    <w:rsid w:val="00616869"/>
    <w:rsid w:val="0062291F"/>
    <w:rsid w:val="0062558E"/>
    <w:rsid w:val="00632004"/>
    <w:rsid w:val="006407D6"/>
    <w:rsid w:val="00642F00"/>
    <w:rsid w:val="00646125"/>
    <w:rsid w:val="0065134D"/>
    <w:rsid w:val="0065293C"/>
    <w:rsid w:val="006552E6"/>
    <w:rsid w:val="00664CA1"/>
    <w:rsid w:val="006712F2"/>
    <w:rsid w:val="00680063"/>
    <w:rsid w:val="006B0821"/>
    <w:rsid w:val="006C28EB"/>
    <w:rsid w:val="006C4D00"/>
    <w:rsid w:val="006C520E"/>
    <w:rsid w:val="006D2FAE"/>
    <w:rsid w:val="006F7647"/>
    <w:rsid w:val="0070747C"/>
    <w:rsid w:val="00712D85"/>
    <w:rsid w:val="00713BDF"/>
    <w:rsid w:val="0072019D"/>
    <w:rsid w:val="00724928"/>
    <w:rsid w:val="007252EC"/>
    <w:rsid w:val="00725E29"/>
    <w:rsid w:val="007447EB"/>
    <w:rsid w:val="00746280"/>
    <w:rsid w:val="00751A05"/>
    <w:rsid w:val="00755B5E"/>
    <w:rsid w:val="0075601D"/>
    <w:rsid w:val="007614F8"/>
    <w:rsid w:val="00763883"/>
    <w:rsid w:val="0078291C"/>
    <w:rsid w:val="00785781"/>
    <w:rsid w:val="00786FB0"/>
    <w:rsid w:val="007A616D"/>
    <w:rsid w:val="007B152A"/>
    <w:rsid w:val="007B1CBC"/>
    <w:rsid w:val="007B37AD"/>
    <w:rsid w:val="007C369E"/>
    <w:rsid w:val="007C4EF5"/>
    <w:rsid w:val="007D0751"/>
    <w:rsid w:val="007D22BE"/>
    <w:rsid w:val="007D23F2"/>
    <w:rsid w:val="007D6CCF"/>
    <w:rsid w:val="007E07BF"/>
    <w:rsid w:val="007F1187"/>
    <w:rsid w:val="007F4768"/>
    <w:rsid w:val="0080413C"/>
    <w:rsid w:val="0080668C"/>
    <w:rsid w:val="008140F3"/>
    <w:rsid w:val="00817EC5"/>
    <w:rsid w:val="00830823"/>
    <w:rsid w:val="00830931"/>
    <w:rsid w:val="00830A66"/>
    <w:rsid w:val="00833072"/>
    <w:rsid w:val="0084046D"/>
    <w:rsid w:val="00845E01"/>
    <w:rsid w:val="00851577"/>
    <w:rsid w:val="00851D68"/>
    <w:rsid w:val="00854C82"/>
    <w:rsid w:val="00861D02"/>
    <w:rsid w:val="00862EE3"/>
    <w:rsid w:val="00872D8F"/>
    <w:rsid w:val="00873B51"/>
    <w:rsid w:val="0087653C"/>
    <w:rsid w:val="00877E3F"/>
    <w:rsid w:val="00890C36"/>
    <w:rsid w:val="008A1268"/>
    <w:rsid w:val="008A239F"/>
    <w:rsid w:val="008A2D7A"/>
    <w:rsid w:val="008A3775"/>
    <w:rsid w:val="008A4957"/>
    <w:rsid w:val="008A5121"/>
    <w:rsid w:val="008D263D"/>
    <w:rsid w:val="008D502F"/>
    <w:rsid w:val="008D77D1"/>
    <w:rsid w:val="008F0358"/>
    <w:rsid w:val="008F4587"/>
    <w:rsid w:val="00902051"/>
    <w:rsid w:val="00907965"/>
    <w:rsid w:val="00914B53"/>
    <w:rsid w:val="009227BE"/>
    <w:rsid w:val="009319E4"/>
    <w:rsid w:val="00931DA4"/>
    <w:rsid w:val="00937539"/>
    <w:rsid w:val="00941230"/>
    <w:rsid w:val="009443C0"/>
    <w:rsid w:val="0095044F"/>
    <w:rsid w:val="009546D3"/>
    <w:rsid w:val="0096009B"/>
    <w:rsid w:val="00966DA4"/>
    <w:rsid w:val="009700BF"/>
    <w:rsid w:val="009A0FBF"/>
    <w:rsid w:val="009A457A"/>
    <w:rsid w:val="009A4DFE"/>
    <w:rsid w:val="009A53D5"/>
    <w:rsid w:val="009A5C36"/>
    <w:rsid w:val="009B0664"/>
    <w:rsid w:val="009B1AF2"/>
    <w:rsid w:val="009B5DBE"/>
    <w:rsid w:val="009C6AEB"/>
    <w:rsid w:val="009D10F9"/>
    <w:rsid w:val="009D432A"/>
    <w:rsid w:val="009E23BF"/>
    <w:rsid w:val="009F7D6A"/>
    <w:rsid w:val="00A052CC"/>
    <w:rsid w:val="00A35C1C"/>
    <w:rsid w:val="00A55269"/>
    <w:rsid w:val="00A67FDB"/>
    <w:rsid w:val="00A71E46"/>
    <w:rsid w:val="00A73B7E"/>
    <w:rsid w:val="00A90240"/>
    <w:rsid w:val="00A9364C"/>
    <w:rsid w:val="00AA1470"/>
    <w:rsid w:val="00AA496A"/>
    <w:rsid w:val="00AB02A4"/>
    <w:rsid w:val="00AB4EA1"/>
    <w:rsid w:val="00AB7806"/>
    <w:rsid w:val="00AC43A6"/>
    <w:rsid w:val="00AD0E16"/>
    <w:rsid w:val="00AE38EF"/>
    <w:rsid w:val="00AF2691"/>
    <w:rsid w:val="00AF3560"/>
    <w:rsid w:val="00AF7948"/>
    <w:rsid w:val="00B11F09"/>
    <w:rsid w:val="00B15084"/>
    <w:rsid w:val="00B24DC8"/>
    <w:rsid w:val="00B2732C"/>
    <w:rsid w:val="00B27F64"/>
    <w:rsid w:val="00B3542D"/>
    <w:rsid w:val="00B45223"/>
    <w:rsid w:val="00B452EF"/>
    <w:rsid w:val="00B60369"/>
    <w:rsid w:val="00B73F24"/>
    <w:rsid w:val="00B73F69"/>
    <w:rsid w:val="00B83734"/>
    <w:rsid w:val="00B90848"/>
    <w:rsid w:val="00B95A15"/>
    <w:rsid w:val="00BA0513"/>
    <w:rsid w:val="00BA1F30"/>
    <w:rsid w:val="00BA2E30"/>
    <w:rsid w:val="00BB48FB"/>
    <w:rsid w:val="00BC3C38"/>
    <w:rsid w:val="00BD2AA0"/>
    <w:rsid w:val="00BD418F"/>
    <w:rsid w:val="00BD58EE"/>
    <w:rsid w:val="00BE47B9"/>
    <w:rsid w:val="00BE5871"/>
    <w:rsid w:val="00BF281A"/>
    <w:rsid w:val="00C03DA2"/>
    <w:rsid w:val="00C04227"/>
    <w:rsid w:val="00C12306"/>
    <w:rsid w:val="00C16BDF"/>
    <w:rsid w:val="00C21328"/>
    <w:rsid w:val="00C24D8C"/>
    <w:rsid w:val="00C415B0"/>
    <w:rsid w:val="00C55C1D"/>
    <w:rsid w:val="00C561A9"/>
    <w:rsid w:val="00C71523"/>
    <w:rsid w:val="00C777D4"/>
    <w:rsid w:val="00C9069B"/>
    <w:rsid w:val="00CA1CD9"/>
    <w:rsid w:val="00CA66B8"/>
    <w:rsid w:val="00CA7825"/>
    <w:rsid w:val="00CA7B77"/>
    <w:rsid w:val="00CB54F7"/>
    <w:rsid w:val="00CC2DCF"/>
    <w:rsid w:val="00CD04F7"/>
    <w:rsid w:val="00CD4937"/>
    <w:rsid w:val="00CD7613"/>
    <w:rsid w:val="00CE13A7"/>
    <w:rsid w:val="00CE2208"/>
    <w:rsid w:val="00CE5FE2"/>
    <w:rsid w:val="00CF1FDA"/>
    <w:rsid w:val="00D029D3"/>
    <w:rsid w:val="00D04FC0"/>
    <w:rsid w:val="00D175F3"/>
    <w:rsid w:val="00D20502"/>
    <w:rsid w:val="00D34EF5"/>
    <w:rsid w:val="00D41877"/>
    <w:rsid w:val="00D4560E"/>
    <w:rsid w:val="00D474D3"/>
    <w:rsid w:val="00D54325"/>
    <w:rsid w:val="00D55571"/>
    <w:rsid w:val="00D62B82"/>
    <w:rsid w:val="00D64218"/>
    <w:rsid w:val="00D90673"/>
    <w:rsid w:val="00D94890"/>
    <w:rsid w:val="00D9594F"/>
    <w:rsid w:val="00DA0B93"/>
    <w:rsid w:val="00DA75D4"/>
    <w:rsid w:val="00DB2F32"/>
    <w:rsid w:val="00DB7023"/>
    <w:rsid w:val="00DD6EBD"/>
    <w:rsid w:val="00DE5596"/>
    <w:rsid w:val="00DF37CA"/>
    <w:rsid w:val="00DF3CA4"/>
    <w:rsid w:val="00DF3FF2"/>
    <w:rsid w:val="00E02426"/>
    <w:rsid w:val="00E22D9A"/>
    <w:rsid w:val="00E349D8"/>
    <w:rsid w:val="00E37554"/>
    <w:rsid w:val="00E40554"/>
    <w:rsid w:val="00E4080F"/>
    <w:rsid w:val="00E41E58"/>
    <w:rsid w:val="00E478C4"/>
    <w:rsid w:val="00E507A1"/>
    <w:rsid w:val="00E53270"/>
    <w:rsid w:val="00E66CBE"/>
    <w:rsid w:val="00E67CA4"/>
    <w:rsid w:val="00E76ACB"/>
    <w:rsid w:val="00E77939"/>
    <w:rsid w:val="00E86E84"/>
    <w:rsid w:val="00E92DE9"/>
    <w:rsid w:val="00E9476B"/>
    <w:rsid w:val="00E9659E"/>
    <w:rsid w:val="00EA1C58"/>
    <w:rsid w:val="00EA4645"/>
    <w:rsid w:val="00EA53F5"/>
    <w:rsid w:val="00EB1A1C"/>
    <w:rsid w:val="00EB53C0"/>
    <w:rsid w:val="00EB5F5F"/>
    <w:rsid w:val="00EB64D7"/>
    <w:rsid w:val="00EC36AB"/>
    <w:rsid w:val="00EC738E"/>
    <w:rsid w:val="00ED23D9"/>
    <w:rsid w:val="00ED42E2"/>
    <w:rsid w:val="00EE699D"/>
    <w:rsid w:val="00EF0DC6"/>
    <w:rsid w:val="00EF188C"/>
    <w:rsid w:val="00F01CBD"/>
    <w:rsid w:val="00F070B8"/>
    <w:rsid w:val="00F15000"/>
    <w:rsid w:val="00F22CA5"/>
    <w:rsid w:val="00F2409D"/>
    <w:rsid w:val="00F2659D"/>
    <w:rsid w:val="00F27863"/>
    <w:rsid w:val="00F33CC0"/>
    <w:rsid w:val="00F349EB"/>
    <w:rsid w:val="00F37196"/>
    <w:rsid w:val="00F5228F"/>
    <w:rsid w:val="00F6231D"/>
    <w:rsid w:val="00F67A91"/>
    <w:rsid w:val="00F74890"/>
    <w:rsid w:val="00F83EB0"/>
    <w:rsid w:val="00F91636"/>
    <w:rsid w:val="00F93C51"/>
    <w:rsid w:val="00FA270B"/>
    <w:rsid w:val="00FA4F71"/>
    <w:rsid w:val="00FB29E4"/>
    <w:rsid w:val="00FC34C5"/>
    <w:rsid w:val="00FD3BCF"/>
    <w:rsid w:val="00FD5462"/>
    <w:rsid w:val="00FE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784E6949"/>
  <w15:docId w15:val="{51CEE3D4-FB3C-4727-9C83-554FF2E3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1"/>
    <w:qFormat/>
    <w:rsid w:val="0034505B"/>
    <w:pPr>
      <w:keepNext/>
      <w:jc w:val="both"/>
      <w:outlineLvl w:val="0"/>
    </w:pPr>
    <w:rPr>
      <w:b/>
      <w:sz w:val="28"/>
      <w:szCs w:val="20"/>
    </w:rPr>
  </w:style>
  <w:style w:type="paragraph" w:styleId="Ttulo2">
    <w:name w:val="heading 2"/>
    <w:basedOn w:val="Normal"/>
    <w:next w:val="Normal"/>
    <w:link w:val="Ttulo2Car"/>
    <w:uiPriority w:val="1"/>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uiPriority w:val="1"/>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uiPriority w:val="99"/>
    <w:rsid w:val="0034505B"/>
    <w:pPr>
      <w:tabs>
        <w:tab w:val="center" w:pos="4252"/>
        <w:tab w:val="right" w:pos="8504"/>
      </w:tabs>
    </w:pPr>
  </w:style>
  <w:style w:type="character" w:customStyle="1" w:styleId="EncabezadoCar">
    <w:name w:val="Encabezado Car"/>
    <w:basedOn w:val="Fuentedeprrafopredeter"/>
    <w:link w:val="Encabezado"/>
    <w:uiPriority w:val="99"/>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NormalWeb">
    <w:name w:val="Normal (Web)"/>
    <w:basedOn w:val="Normal"/>
    <w:uiPriority w:val="99"/>
    <w:unhideWhenUsed/>
    <w:rsid w:val="009A4DFE"/>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9A4DFE"/>
    <w:rPr>
      <w:b/>
      <w:bCs/>
    </w:rPr>
  </w:style>
  <w:style w:type="character" w:customStyle="1" w:styleId="apple-converted-space">
    <w:name w:val="apple-converted-space"/>
    <w:basedOn w:val="Fuentedeprrafopredeter"/>
    <w:rsid w:val="009A4DFE"/>
  </w:style>
  <w:style w:type="table" w:customStyle="1" w:styleId="TableNormal">
    <w:name w:val="Table Normal"/>
    <w:uiPriority w:val="2"/>
    <w:semiHidden/>
    <w:unhideWhenUsed/>
    <w:qFormat/>
    <w:rsid w:val="005C16D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16D1"/>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5C16D1"/>
    <w:rPr>
      <w:rFonts w:ascii="Arial" w:eastAsia="Arial" w:hAnsi="Arial"/>
      <w:lang w:val="en-US"/>
    </w:rPr>
  </w:style>
  <w:style w:type="paragraph" w:customStyle="1" w:styleId="TableParagraph">
    <w:name w:val="Table Paragraph"/>
    <w:basedOn w:val="Normal"/>
    <w:uiPriority w:val="1"/>
    <w:qFormat/>
    <w:rsid w:val="005C16D1"/>
    <w:pPr>
      <w:widowControl w:val="0"/>
    </w:pPr>
    <w:rPr>
      <w:rFonts w:asciiTheme="minorHAnsi" w:eastAsiaTheme="minorHAnsi" w:hAnsiTheme="minorHAnsi" w:cstheme="minorBidi"/>
      <w:sz w:val="22"/>
      <w:szCs w:val="22"/>
      <w:lang w:val="en-US" w:eastAsia="en-US"/>
    </w:rPr>
  </w:style>
  <w:style w:type="character" w:styleId="Refdenotaalpie">
    <w:name w:val="footnote reference"/>
    <w:uiPriority w:val="99"/>
    <w:rsid w:val="00CA1CD9"/>
    <w:rPr>
      <w:vertAlign w:val="superscript"/>
    </w:rPr>
  </w:style>
  <w:style w:type="character" w:styleId="Mencinsinresolver">
    <w:name w:val="Unresolved Mention"/>
    <w:basedOn w:val="Fuentedeprrafopredeter"/>
    <w:uiPriority w:val="99"/>
    <w:semiHidden/>
    <w:unhideWhenUsed/>
    <w:rsid w:val="0039092F"/>
    <w:rPr>
      <w:color w:val="605E5C"/>
      <w:shd w:val="clear" w:color="auto" w:fill="E1DFDD"/>
    </w:rPr>
  </w:style>
  <w:style w:type="paragraph" w:customStyle="1" w:styleId="Default">
    <w:name w:val="Default"/>
    <w:rsid w:val="0062558E"/>
    <w:pPr>
      <w:autoSpaceDE w:val="0"/>
      <w:autoSpaceDN w:val="0"/>
      <w:adjustRightInd w:val="0"/>
      <w:spacing w:after="0" w:line="240" w:lineRule="auto"/>
    </w:pPr>
    <w:rPr>
      <w:rFonts w:ascii="Arial" w:eastAsia="Batang"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399">
      <w:bodyDiv w:val="1"/>
      <w:marLeft w:val="0"/>
      <w:marRight w:val="0"/>
      <w:marTop w:val="0"/>
      <w:marBottom w:val="0"/>
      <w:divBdr>
        <w:top w:val="none" w:sz="0" w:space="0" w:color="auto"/>
        <w:left w:val="none" w:sz="0" w:space="0" w:color="auto"/>
        <w:bottom w:val="none" w:sz="0" w:space="0" w:color="auto"/>
        <w:right w:val="none" w:sz="0" w:space="0" w:color="auto"/>
      </w:divBdr>
    </w:div>
    <w:div w:id="17392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ida.sanchis@icex.es" TargetMode="External"/><Relationship Id="rId13" Type="http://schemas.openxmlformats.org/officeDocument/2006/relationships/hyperlink" Target="mailto:info@anie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ex.es/fondosfe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x.es/icex/es/navegacion-principal/que-es-icex/sala-de-prensa/videos/categorias-videos/sectores/servicios/VID20198287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ex.es/icex/es/navegacion-principal/que-es-icex/nuevos-instrumentos/index.html" TargetMode="External"/><Relationship Id="rId4" Type="http://schemas.openxmlformats.org/officeDocument/2006/relationships/settings" Target="settings.xml"/><Relationship Id="rId9" Type="http://schemas.openxmlformats.org/officeDocument/2006/relationships/hyperlink" Target="https://emailfirewall.spamina.com/atp/url-check.php?URL=https%3A%2F%2Fwww.agenciatributaria.gob.es%2FAEAT.sede%2Ftramitacion%2FDC15&amp;D=53616c7465645f5f2a053a435bf2aa2e164bf5f8864a91143ebdc96a5d5f75269a08bbcd7c9af036269315dddc768d552b13a3468d5c602e545c04c7042f78b7af73d1796621b9c335162aafa817f7f9&amp;V=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3557-D1D7-4343-8CDD-6EC9438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3260</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GRACIELA SOLER</cp:lastModifiedBy>
  <cp:revision>4</cp:revision>
  <cp:lastPrinted>2021-06-02T08:40:00Z</cp:lastPrinted>
  <dcterms:created xsi:type="dcterms:W3CDTF">2021-06-02T11:49:00Z</dcterms:created>
  <dcterms:modified xsi:type="dcterms:W3CDTF">2021-06-28T07:12:00Z</dcterms:modified>
</cp:coreProperties>
</file>